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1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D354B6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445DAE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910B2B" w:rsidRPr="00AE7CDF" w:rsidRDefault="00910B2B" w:rsidP="00910B2B">
      <w:pPr>
        <w:pStyle w:val="af6"/>
        <w:rPr>
          <w:sz w:val="26"/>
          <w:szCs w:val="26"/>
        </w:rPr>
      </w:pPr>
      <w:r w:rsidRPr="00AE7CDF">
        <w:rPr>
          <w:sz w:val="26"/>
          <w:szCs w:val="26"/>
        </w:rPr>
        <w:t xml:space="preserve">от  </w:t>
      </w:r>
      <w:r w:rsidR="00B479A6">
        <w:rPr>
          <w:sz w:val="26"/>
          <w:szCs w:val="26"/>
        </w:rPr>
        <w:t>2</w:t>
      </w:r>
      <w:r w:rsidRPr="00AE7CDF">
        <w:rPr>
          <w:sz w:val="26"/>
          <w:szCs w:val="26"/>
        </w:rPr>
        <w:t xml:space="preserve">9 сентября  2017 года  № </w:t>
      </w:r>
      <w:r>
        <w:rPr>
          <w:sz w:val="26"/>
          <w:szCs w:val="26"/>
        </w:rPr>
        <w:t>12</w:t>
      </w:r>
    </w:p>
    <w:p w:rsidR="00910B2B" w:rsidRPr="00AE7CDF" w:rsidRDefault="00910B2B" w:rsidP="00910B2B">
      <w:pPr>
        <w:pStyle w:val="af6"/>
        <w:rPr>
          <w:sz w:val="26"/>
          <w:szCs w:val="26"/>
        </w:rPr>
      </w:pPr>
      <w:r w:rsidRPr="00AE7CDF">
        <w:rPr>
          <w:sz w:val="26"/>
          <w:szCs w:val="26"/>
        </w:rPr>
        <w:t>город Красноуральск</w:t>
      </w:r>
    </w:p>
    <w:p w:rsidR="00377D58" w:rsidRPr="00995CBB" w:rsidRDefault="00377D58" w:rsidP="00377D58">
      <w:pPr>
        <w:suppressAutoHyphens/>
        <w:rPr>
          <w:lang w:eastAsia="ar-SA"/>
        </w:rPr>
      </w:pPr>
    </w:p>
    <w:p w:rsidR="00A74495" w:rsidRPr="00D50B7F" w:rsidRDefault="00A74495" w:rsidP="002C5DF1">
      <w:pPr>
        <w:suppressAutoHyphens/>
        <w:jc w:val="center"/>
        <w:rPr>
          <w:b/>
          <w:color w:val="000000"/>
          <w:sz w:val="28"/>
          <w:szCs w:val="28"/>
        </w:rPr>
      </w:pPr>
      <w:r w:rsidRPr="00D50B7F">
        <w:rPr>
          <w:b/>
          <w:color w:val="000000"/>
          <w:sz w:val="28"/>
          <w:szCs w:val="28"/>
        </w:rPr>
        <w:t xml:space="preserve">Об исполнении бюджета городского округа Красноуральск </w:t>
      </w:r>
    </w:p>
    <w:p w:rsidR="00377D58" w:rsidRPr="00D50B7F" w:rsidRDefault="00A74495" w:rsidP="002C5DF1">
      <w:pPr>
        <w:suppressAutoHyphens/>
        <w:jc w:val="center"/>
        <w:rPr>
          <w:sz w:val="28"/>
          <w:szCs w:val="28"/>
          <w:lang w:eastAsia="ar-SA"/>
        </w:rPr>
      </w:pPr>
      <w:r w:rsidRPr="00D50B7F">
        <w:rPr>
          <w:b/>
          <w:color w:val="000000"/>
          <w:sz w:val="28"/>
          <w:szCs w:val="28"/>
        </w:rPr>
        <w:t>за первое полугодие 201</w:t>
      </w:r>
      <w:r w:rsidR="00F91E83" w:rsidRPr="00D50B7F">
        <w:rPr>
          <w:b/>
          <w:color w:val="000000"/>
          <w:sz w:val="28"/>
          <w:szCs w:val="28"/>
        </w:rPr>
        <w:t>7</w:t>
      </w:r>
      <w:r w:rsidRPr="00D50B7F">
        <w:rPr>
          <w:b/>
          <w:color w:val="000000"/>
          <w:sz w:val="28"/>
          <w:szCs w:val="28"/>
        </w:rPr>
        <w:t xml:space="preserve"> года</w:t>
      </w:r>
    </w:p>
    <w:p w:rsidR="005D0844" w:rsidRDefault="005D0844" w:rsidP="002C5DF1">
      <w:pPr>
        <w:suppressAutoHyphens/>
        <w:jc w:val="center"/>
        <w:rPr>
          <w:lang w:eastAsia="ar-SA"/>
        </w:rPr>
      </w:pPr>
    </w:p>
    <w:p w:rsidR="00D50B7F" w:rsidRPr="00E7116A" w:rsidRDefault="00D50B7F" w:rsidP="002C5DF1">
      <w:pPr>
        <w:suppressAutoHyphens/>
        <w:jc w:val="center"/>
        <w:rPr>
          <w:lang w:eastAsia="ar-SA"/>
        </w:rPr>
      </w:pPr>
    </w:p>
    <w:p w:rsidR="00377D58" w:rsidRPr="00D50B7F" w:rsidRDefault="00BC3B45" w:rsidP="002C5DF1">
      <w:pPr>
        <w:widowControl w:val="0"/>
        <w:suppressAutoHyphens/>
        <w:ind w:firstLine="540"/>
        <w:jc w:val="both"/>
        <w:rPr>
          <w:sz w:val="25"/>
          <w:szCs w:val="25"/>
        </w:rPr>
      </w:pPr>
      <w:r w:rsidRPr="00D50B7F">
        <w:rPr>
          <w:sz w:val="25"/>
          <w:szCs w:val="25"/>
          <w:lang w:eastAsia="ar-SA"/>
        </w:rPr>
        <w:t>В соответствии со статьями 9, 264.2 Бюджетного кодекса Российской Федерации, статьёй 44 Положения о бюджетном  процессе в городском округе Красноуральск, утвержденного решением Думы городского округа Красноуральск от 29 августа 2014 года № 302(с изменениями), рассмотрев постановление администрации  городского округа Красноуральск от 2</w:t>
      </w:r>
      <w:r w:rsidR="001A1F41" w:rsidRPr="00D50B7F">
        <w:rPr>
          <w:sz w:val="25"/>
          <w:szCs w:val="25"/>
          <w:lang w:eastAsia="ar-SA"/>
        </w:rPr>
        <w:t xml:space="preserve">5 июля </w:t>
      </w:r>
      <w:r w:rsidRPr="00D50B7F">
        <w:rPr>
          <w:sz w:val="25"/>
          <w:szCs w:val="25"/>
          <w:lang w:eastAsia="ar-SA"/>
        </w:rPr>
        <w:t>201</w:t>
      </w:r>
      <w:r w:rsidR="001A1F41" w:rsidRPr="00D50B7F">
        <w:rPr>
          <w:sz w:val="25"/>
          <w:szCs w:val="25"/>
          <w:lang w:eastAsia="ar-SA"/>
        </w:rPr>
        <w:t xml:space="preserve">7 года </w:t>
      </w:r>
      <w:r w:rsidRPr="00D50B7F">
        <w:rPr>
          <w:sz w:val="25"/>
          <w:szCs w:val="25"/>
          <w:lang w:eastAsia="ar-SA"/>
        </w:rPr>
        <w:t xml:space="preserve">№ </w:t>
      </w:r>
      <w:r w:rsidR="001A1F41" w:rsidRPr="00D50B7F">
        <w:rPr>
          <w:sz w:val="25"/>
          <w:szCs w:val="25"/>
          <w:lang w:eastAsia="ar-SA"/>
        </w:rPr>
        <w:t>955</w:t>
      </w:r>
      <w:r w:rsidRPr="00D50B7F">
        <w:rPr>
          <w:sz w:val="25"/>
          <w:szCs w:val="25"/>
          <w:lang w:eastAsia="ar-SA"/>
        </w:rPr>
        <w:t xml:space="preserve"> «Об утверждении отчёта об исполнении бюджета городского округа Красноуральск за перв</w:t>
      </w:r>
      <w:r w:rsidR="001A1F41" w:rsidRPr="00D50B7F">
        <w:rPr>
          <w:sz w:val="25"/>
          <w:szCs w:val="25"/>
          <w:lang w:eastAsia="ar-SA"/>
        </w:rPr>
        <w:t>ое</w:t>
      </w:r>
      <w:r w:rsidR="00215C3B">
        <w:rPr>
          <w:sz w:val="25"/>
          <w:szCs w:val="25"/>
          <w:lang w:eastAsia="ar-SA"/>
        </w:rPr>
        <w:t xml:space="preserve"> </w:t>
      </w:r>
      <w:r w:rsidR="001A1F41" w:rsidRPr="00D50B7F">
        <w:rPr>
          <w:sz w:val="25"/>
          <w:szCs w:val="25"/>
          <w:lang w:eastAsia="ar-SA"/>
        </w:rPr>
        <w:t>полугодие</w:t>
      </w:r>
      <w:r w:rsidRPr="00D50B7F">
        <w:rPr>
          <w:sz w:val="25"/>
          <w:szCs w:val="25"/>
          <w:lang w:eastAsia="ar-SA"/>
        </w:rPr>
        <w:t xml:space="preserve"> 201</w:t>
      </w:r>
      <w:r w:rsidR="00A74495" w:rsidRPr="00D50B7F">
        <w:rPr>
          <w:sz w:val="25"/>
          <w:szCs w:val="25"/>
          <w:lang w:eastAsia="ar-SA"/>
        </w:rPr>
        <w:t>7</w:t>
      </w:r>
      <w:r w:rsidRPr="00D50B7F">
        <w:rPr>
          <w:sz w:val="25"/>
          <w:szCs w:val="25"/>
          <w:lang w:eastAsia="ar-SA"/>
        </w:rPr>
        <w:t xml:space="preserve"> года», информацию Контрольного органа городского округа Красноуральск об исполнении бюджета городского округа Красноуральск за </w:t>
      </w:r>
      <w:r w:rsidR="001A1F41" w:rsidRPr="00D50B7F">
        <w:rPr>
          <w:sz w:val="25"/>
          <w:szCs w:val="25"/>
          <w:lang w:eastAsia="ar-SA"/>
        </w:rPr>
        <w:t>первое полугодие</w:t>
      </w:r>
      <w:r w:rsidRPr="00D50B7F">
        <w:rPr>
          <w:sz w:val="25"/>
          <w:szCs w:val="25"/>
          <w:lang w:eastAsia="ar-SA"/>
        </w:rPr>
        <w:t xml:space="preserve"> 201</w:t>
      </w:r>
      <w:r w:rsidR="001A1F41" w:rsidRPr="00D50B7F">
        <w:rPr>
          <w:sz w:val="25"/>
          <w:szCs w:val="25"/>
          <w:lang w:eastAsia="ar-SA"/>
        </w:rPr>
        <w:t>7</w:t>
      </w:r>
      <w:r w:rsidRPr="00D50B7F">
        <w:rPr>
          <w:sz w:val="25"/>
          <w:szCs w:val="25"/>
          <w:lang w:eastAsia="ar-SA"/>
        </w:rPr>
        <w:t xml:space="preserve"> года, Дума городского округа Красноуральск</w:t>
      </w:r>
    </w:p>
    <w:p w:rsidR="00BC3B45" w:rsidRPr="00D50B7F" w:rsidRDefault="00BC3B45" w:rsidP="002C5DF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77D58" w:rsidRPr="00A74495" w:rsidRDefault="00377D58" w:rsidP="002C5DF1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74495">
        <w:rPr>
          <w:b/>
          <w:bCs/>
          <w:sz w:val="26"/>
          <w:szCs w:val="26"/>
          <w:lang w:eastAsia="ar-SA"/>
        </w:rPr>
        <w:t>РЕШИЛА:</w:t>
      </w:r>
    </w:p>
    <w:p w:rsidR="00F32EC8" w:rsidRPr="00D50B7F" w:rsidRDefault="00F32EC8" w:rsidP="002C5DF1">
      <w:pPr>
        <w:suppressAutoHyphens/>
        <w:ind w:firstLine="709"/>
        <w:jc w:val="center"/>
        <w:rPr>
          <w:b/>
          <w:bCs/>
          <w:sz w:val="16"/>
          <w:szCs w:val="16"/>
          <w:lang w:eastAsia="ar-SA"/>
        </w:rPr>
      </w:pPr>
    </w:p>
    <w:p w:rsidR="001A1F41" w:rsidRPr="00D50B7F" w:rsidRDefault="001A1F41" w:rsidP="00D50B7F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D50B7F">
        <w:rPr>
          <w:sz w:val="25"/>
          <w:szCs w:val="25"/>
        </w:rPr>
        <w:t xml:space="preserve">Информацию Контрольного органа об </w:t>
      </w:r>
      <w:bookmarkStart w:id="1" w:name="_GoBack"/>
      <w:bookmarkEnd w:id="1"/>
      <w:r w:rsidR="00B479A6" w:rsidRPr="00D50B7F">
        <w:rPr>
          <w:sz w:val="25"/>
          <w:szCs w:val="25"/>
        </w:rPr>
        <w:t>исполнении бюджета</w:t>
      </w:r>
      <w:r w:rsidRPr="00D50B7F">
        <w:rPr>
          <w:sz w:val="25"/>
          <w:szCs w:val="25"/>
        </w:rPr>
        <w:t xml:space="preserve"> городского округа Красноуральск за первое полугодие 2017  года принять к сведению</w:t>
      </w:r>
      <w:r w:rsidR="00F91E83" w:rsidRPr="00D50B7F">
        <w:rPr>
          <w:sz w:val="25"/>
          <w:szCs w:val="25"/>
        </w:rPr>
        <w:t xml:space="preserve"> (прилагается)</w:t>
      </w:r>
      <w:r w:rsidRPr="00D50B7F">
        <w:rPr>
          <w:sz w:val="25"/>
          <w:szCs w:val="25"/>
        </w:rPr>
        <w:t xml:space="preserve">. </w:t>
      </w:r>
    </w:p>
    <w:p w:rsidR="001A1F41" w:rsidRPr="00D50B7F" w:rsidRDefault="001A1F41" w:rsidP="00D50B7F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D50B7F">
        <w:rPr>
          <w:sz w:val="25"/>
          <w:szCs w:val="25"/>
        </w:rPr>
        <w:t>Администрации городского округа (</w:t>
      </w:r>
      <w:r w:rsidR="002C5DF1" w:rsidRPr="00D50B7F">
        <w:rPr>
          <w:sz w:val="25"/>
          <w:szCs w:val="25"/>
        </w:rPr>
        <w:t>и.о. г</w:t>
      </w:r>
      <w:r w:rsidRPr="00D50B7F">
        <w:rPr>
          <w:sz w:val="25"/>
          <w:szCs w:val="25"/>
        </w:rPr>
        <w:t>лав</w:t>
      </w:r>
      <w:r w:rsidR="002C5DF1" w:rsidRPr="00D50B7F">
        <w:rPr>
          <w:sz w:val="25"/>
          <w:szCs w:val="25"/>
        </w:rPr>
        <w:t>ы</w:t>
      </w:r>
      <w:r w:rsidRPr="00D50B7F">
        <w:rPr>
          <w:sz w:val="25"/>
          <w:szCs w:val="25"/>
        </w:rPr>
        <w:t xml:space="preserve"> городского округа</w:t>
      </w:r>
      <w:r w:rsidR="002F2CB2">
        <w:rPr>
          <w:sz w:val="25"/>
          <w:szCs w:val="25"/>
        </w:rPr>
        <w:t xml:space="preserve"> Красноуральск</w:t>
      </w:r>
      <w:r w:rsidR="00215C3B">
        <w:rPr>
          <w:sz w:val="25"/>
          <w:szCs w:val="25"/>
        </w:rPr>
        <w:t xml:space="preserve"> </w:t>
      </w:r>
      <w:r w:rsidR="002C5DF1" w:rsidRPr="00D50B7F">
        <w:rPr>
          <w:sz w:val="25"/>
          <w:szCs w:val="25"/>
        </w:rPr>
        <w:t>С.Н.Макаровой</w:t>
      </w:r>
      <w:r w:rsidRPr="00D50B7F">
        <w:rPr>
          <w:sz w:val="25"/>
          <w:szCs w:val="25"/>
        </w:rPr>
        <w:t>):</w:t>
      </w:r>
    </w:p>
    <w:p w:rsidR="001A1F41" w:rsidRPr="00D50B7F" w:rsidRDefault="00DC04F0" w:rsidP="00D50B7F">
      <w:pPr>
        <w:pStyle w:val="af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D50B7F">
        <w:rPr>
          <w:sz w:val="25"/>
          <w:szCs w:val="25"/>
        </w:rPr>
        <w:t>обеспечить</w:t>
      </w:r>
      <w:r w:rsidR="001A1F41" w:rsidRPr="00D50B7F">
        <w:rPr>
          <w:sz w:val="25"/>
          <w:szCs w:val="25"/>
        </w:rPr>
        <w:t xml:space="preserve"> контроль за целевым и эффективным использованием средств местного бюджета;</w:t>
      </w:r>
    </w:p>
    <w:p w:rsidR="001A1F41" w:rsidRPr="00D50B7F" w:rsidRDefault="001A1F41" w:rsidP="00D50B7F">
      <w:pPr>
        <w:pStyle w:val="af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D50B7F">
        <w:rPr>
          <w:sz w:val="25"/>
          <w:szCs w:val="25"/>
        </w:rPr>
        <w:t>принять меры к недопущению роста кредиторской задолженности в 2017 году;</w:t>
      </w:r>
    </w:p>
    <w:p w:rsidR="001A1F41" w:rsidRPr="00D50B7F" w:rsidRDefault="001A1F41" w:rsidP="00D50B7F">
      <w:pPr>
        <w:pStyle w:val="af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D50B7F">
        <w:rPr>
          <w:sz w:val="25"/>
          <w:szCs w:val="25"/>
        </w:rPr>
        <w:t>в первоочередном порядке направлять средства местного бюджета на выплату заработной платы работникам муниципальных учреждений и оплату коммунальных услуг;</w:t>
      </w:r>
    </w:p>
    <w:p w:rsidR="00A74495" w:rsidRPr="00D50B7F" w:rsidRDefault="001A1F41" w:rsidP="00D50B7F">
      <w:pPr>
        <w:pStyle w:val="af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D50B7F">
        <w:rPr>
          <w:sz w:val="25"/>
          <w:szCs w:val="25"/>
        </w:rPr>
        <w:t>осуществлять мероприятия по оптимизации расходов бюджета в 2017 году.</w:t>
      </w:r>
    </w:p>
    <w:p w:rsidR="00D50B7F" w:rsidRPr="00D50B7F" w:rsidRDefault="00D50B7F" w:rsidP="00D50B7F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D50B7F">
        <w:rPr>
          <w:sz w:val="25"/>
          <w:szCs w:val="25"/>
        </w:rPr>
        <w:t>Настоящее решение вступает в силу со дня его обнародования.</w:t>
      </w:r>
    </w:p>
    <w:p w:rsidR="001A1F41" w:rsidRPr="00D50B7F" w:rsidRDefault="001A1F41" w:rsidP="00D50B7F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D50B7F">
        <w:rPr>
          <w:sz w:val="25"/>
          <w:szCs w:val="25"/>
        </w:rPr>
        <w:t>Разместить настоящее решение на официальном сайте Думы городского округа Красноуральск в сети Интернет: www.dumakrur.ru.</w:t>
      </w:r>
    </w:p>
    <w:p w:rsidR="00377D58" w:rsidRPr="00D50B7F" w:rsidRDefault="001A1F41" w:rsidP="00D50B7F">
      <w:pPr>
        <w:pStyle w:val="af6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D50B7F">
        <w:rPr>
          <w:sz w:val="25"/>
          <w:szCs w:val="25"/>
        </w:rPr>
        <w:t>Контроль исполнения настоящего решения возложить на постоянную депутатскую комиссию по э</w:t>
      </w:r>
      <w:r w:rsidR="002C5DF1" w:rsidRPr="00D50B7F">
        <w:rPr>
          <w:sz w:val="25"/>
          <w:szCs w:val="25"/>
        </w:rPr>
        <w:t>кономической политике и бюджету (Грибов В.В.)</w:t>
      </w:r>
    </w:p>
    <w:p w:rsidR="00A74495" w:rsidRDefault="00A74495" w:rsidP="002C5DF1">
      <w:pPr>
        <w:pStyle w:val="af6"/>
        <w:rPr>
          <w:b/>
          <w:sz w:val="26"/>
          <w:szCs w:val="26"/>
          <w:lang w:eastAsia="ar-SA"/>
        </w:rPr>
      </w:pPr>
    </w:p>
    <w:p w:rsidR="002C5DF1" w:rsidRDefault="002C5DF1" w:rsidP="002C5DF1">
      <w:pPr>
        <w:pStyle w:val="af6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Председатель Думы</w:t>
      </w:r>
    </w:p>
    <w:p w:rsidR="00545AD7" w:rsidRDefault="00377D58" w:rsidP="002C5DF1">
      <w:pPr>
        <w:pStyle w:val="af6"/>
        <w:rPr>
          <w:b/>
          <w:sz w:val="26"/>
          <w:szCs w:val="26"/>
          <w:lang w:eastAsia="ar-SA"/>
        </w:rPr>
      </w:pPr>
      <w:r w:rsidRPr="00A74495">
        <w:rPr>
          <w:b/>
          <w:sz w:val="26"/>
          <w:szCs w:val="26"/>
          <w:lang w:eastAsia="ar-SA"/>
        </w:rPr>
        <w:t xml:space="preserve">городского округа Красноуральск         </w:t>
      </w:r>
      <w:r w:rsidR="00215C3B">
        <w:rPr>
          <w:b/>
          <w:sz w:val="26"/>
          <w:szCs w:val="26"/>
          <w:lang w:eastAsia="ar-SA"/>
        </w:rPr>
        <w:t xml:space="preserve">                                                   </w:t>
      </w:r>
      <w:r w:rsidR="002C5DF1">
        <w:rPr>
          <w:b/>
          <w:sz w:val="26"/>
          <w:szCs w:val="26"/>
          <w:lang w:eastAsia="ar-SA"/>
        </w:rPr>
        <w:t>А.В.</w:t>
      </w:r>
      <w:r w:rsidR="00215C3B">
        <w:rPr>
          <w:b/>
          <w:sz w:val="26"/>
          <w:szCs w:val="26"/>
          <w:lang w:eastAsia="ar-SA"/>
        </w:rPr>
        <w:t xml:space="preserve"> </w:t>
      </w:r>
      <w:r w:rsidR="002C5DF1">
        <w:rPr>
          <w:b/>
          <w:sz w:val="26"/>
          <w:szCs w:val="26"/>
          <w:lang w:eastAsia="ar-SA"/>
        </w:rPr>
        <w:t>Медведев</w:t>
      </w:r>
    </w:p>
    <w:p w:rsidR="002C5DF1" w:rsidRDefault="002C5DF1" w:rsidP="00545AD7">
      <w:pPr>
        <w:pStyle w:val="af6"/>
        <w:rPr>
          <w:b/>
          <w:sz w:val="26"/>
          <w:szCs w:val="26"/>
          <w:lang w:eastAsia="ar-SA"/>
        </w:rPr>
      </w:pPr>
    </w:p>
    <w:p w:rsidR="00D50B7F" w:rsidRDefault="00D50B7F" w:rsidP="00D50B7F">
      <w:pPr>
        <w:pStyle w:val="af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Pr="00B03E0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</w:p>
    <w:p w:rsidR="00D50B7F" w:rsidRPr="00B03E05" w:rsidRDefault="00D50B7F" w:rsidP="00D50B7F">
      <w:pPr>
        <w:pStyle w:val="af6"/>
        <w:jc w:val="both"/>
        <w:rPr>
          <w:b/>
          <w:sz w:val="26"/>
          <w:szCs w:val="26"/>
        </w:rPr>
      </w:pPr>
      <w:r w:rsidRPr="00B03E05">
        <w:rPr>
          <w:b/>
          <w:sz w:val="26"/>
          <w:szCs w:val="26"/>
        </w:rPr>
        <w:t xml:space="preserve">городского округа Красноуральск          </w:t>
      </w:r>
      <w:r>
        <w:rPr>
          <w:b/>
          <w:sz w:val="26"/>
          <w:szCs w:val="26"/>
        </w:rPr>
        <w:t xml:space="preserve">                                                С.Н. Макарова</w:t>
      </w:r>
    </w:p>
    <w:p w:rsidR="004A772B" w:rsidRPr="005203D0" w:rsidRDefault="004A772B" w:rsidP="004A772B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A772B" w:rsidRPr="005203D0" w:rsidRDefault="004A772B" w:rsidP="004A772B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t>Утверждено решением Думы</w:t>
      </w:r>
    </w:p>
    <w:p w:rsidR="004A772B" w:rsidRPr="005203D0" w:rsidRDefault="004A772B" w:rsidP="004A772B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</w:p>
    <w:p w:rsidR="004A772B" w:rsidRPr="005203D0" w:rsidRDefault="004A772B" w:rsidP="004A772B">
      <w:pPr>
        <w:pStyle w:val="ConsPlusNormal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Pr="005203D0">
        <w:rPr>
          <w:rFonts w:ascii="Times New Roman" w:hAnsi="Times New Roman" w:cs="Times New Roman"/>
          <w:sz w:val="26"/>
          <w:szCs w:val="26"/>
        </w:rPr>
        <w:t xml:space="preserve">9 сентября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15C3B">
        <w:rPr>
          <w:rFonts w:ascii="Times New Roman" w:hAnsi="Times New Roman" w:cs="Times New Roman"/>
          <w:sz w:val="26"/>
          <w:szCs w:val="26"/>
        </w:rPr>
        <w:t xml:space="preserve"> </w:t>
      </w:r>
      <w:r w:rsidR="00910B2B">
        <w:rPr>
          <w:rFonts w:ascii="Times New Roman" w:hAnsi="Times New Roman" w:cs="Times New Roman"/>
          <w:sz w:val="26"/>
          <w:szCs w:val="26"/>
        </w:rPr>
        <w:t>12</w:t>
      </w:r>
    </w:p>
    <w:p w:rsidR="002C5DF1" w:rsidRDefault="002C5DF1" w:rsidP="002C5DF1">
      <w:pPr>
        <w:jc w:val="center"/>
        <w:rPr>
          <w:rFonts w:eastAsiaTheme="minorEastAsia"/>
          <w:b/>
          <w:sz w:val="22"/>
          <w:szCs w:val="22"/>
        </w:rPr>
      </w:pPr>
    </w:p>
    <w:p w:rsidR="004A772B" w:rsidRDefault="004A772B" w:rsidP="002C5DF1">
      <w:pPr>
        <w:jc w:val="center"/>
        <w:rPr>
          <w:rFonts w:eastAsiaTheme="minorEastAsia"/>
          <w:b/>
          <w:sz w:val="22"/>
          <w:szCs w:val="22"/>
        </w:rPr>
      </w:pPr>
    </w:p>
    <w:p w:rsidR="002C5DF1" w:rsidRPr="002C5DF1" w:rsidRDefault="002C5DF1" w:rsidP="002C5DF1">
      <w:pPr>
        <w:jc w:val="center"/>
        <w:rPr>
          <w:rFonts w:eastAsiaTheme="minorEastAsia"/>
          <w:b/>
          <w:sz w:val="22"/>
          <w:szCs w:val="22"/>
        </w:rPr>
      </w:pPr>
      <w:r w:rsidRPr="002C5DF1">
        <w:rPr>
          <w:rFonts w:eastAsiaTheme="minorEastAsia"/>
          <w:b/>
          <w:sz w:val="22"/>
          <w:szCs w:val="22"/>
        </w:rPr>
        <w:t>ИНФОРМАЦИЯ</w:t>
      </w:r>
    </w:p>
    <w:p w:rsidR="002C5DF1" w:rsidRPr="00CB73FB" w:rsidRDefault="002C5DF1" w:rsidP="002C5DF1">
      <w:pPr>
        <w:jc w:val="center"/>
        <w:rPr>
          <w:rFonts w:eastAsiaTheme="minorEastAsia"/>
          <w:b/>
        </w:rPr>
      </w:pPr>
      <w:r w:rsidRPr="00CB73FB">
        <w:rPr>
          <w:rFonts w:eastAsiaTheme="minorEastAsia"/>
          <w:b/>
        </w:rPr>
        <w:t>Контрольного органа городского округа  Красноуральск об исполнении бюджета городского округа Красноуральск  за первое полугодие 2017 года</w:t>
      </w:r>
    </w:p>
    <w:p w:rsidR="002C5DF1" w:rsidRPr="00CB73FB" w:rsidRDefault="002C5DF1" w:rsidP="002C5DF1">
      <w:pPr>
        <w:ind w:firstLine="720"/>
        <w:jc w:val="both"/>
        <w:rPr>
          <w:rFonts w:eastAsiaTheme="minorEastAsia"/>
          <w:sz w:val="16"/>
          <w:szCs w:val="16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b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В соответствии с нормами пункта 2 статьи 44 Положения о бюджетном процессе в городском округе Красноуральск, утвержденного решением Думы от 29.08.2014 № 302 (с изменениями, далее – Положение о бюджетном процессе) и подпункта 8.1 пункта 8 Положения о Контрольном органе городского округа Красноуральск, утвержденного решением Думы городского округа Красноуральск (далее – Дума) от 04.12.2014 № 335 (с изменениями), пункта 2.5 раздела 2 плана работы Контрольного органа городского округа Красноуральск  (далее – Контрольный орган) на 2017 год, утвержденного распоряжением Контрольного органа от 19.12.2016 № 38 (с изменениями), Контрольным органом подготовлена информация об исполнении бюджета городского округа Красноуральск за первое полугодие 2017 года.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Отчет об исполнении бюджета городского округа Красноуральск за первое полугодие 2017 года (далее – Отчет об исполнении местного бюджета за 1 полугодие, Отчет), согласно требованиям пункта 5 статьи 264.2 Бюджетного кодекса Российской Федерации (далее – БК РФ) и пункта 2 статьи 44 Положения о бюджетном процессе, утвержден постановлением администрации городского округа Красноуральск от 25.07.2017 № 955 «Об утверждении отчета об исполнении бюджета городского округа Красноуральск за первое полугодие 2017 года». Сроки представления утвержденного отчета в Контрольный орган, установленные пунктом 2 статьи 44 Положения о бюджетном процессе, соблюдены.</w:t>
      </w:r>
    </w:p>
    <w:p w:rsidR="002C5DF1" w:rsidRPr="009D5FD2" w:rsidRDefault="002C5DF1" w:rsidP="002C5DF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При подготовке информации изучены следующие материалы:</w:t>
      </w:r>
    </w:p>
    <w:p w:rsidR="002C5DF1" w:rsidRPr="009D5FD2" w:rsidRDefault="002C5DF1" w:rsidP="002C5DF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Отчет об исполнении местного  бюджета за 1 полугодие (исх. № 1855-2/экон от 27.07.2017);</w:t>
      </w:r>
    </w:p>
    <w:p w:rsidR="002C5DF1" w:rsidRPr="009D5FD2" w:rsidRDefault="002C5DF1" w:rsidP="002C5DF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постановление администрации  городского округа Красноуральск от 25.07.2017 № 955 «Об утверждении отчета об исполнении бюджета городского округа Красноуральск за первое полугодие 2017 года»;</w:t>
      </w:r>
    </w:p>
    <w:p w:rsidR="002C5DF1" w:rsidRPr="009D5FD2" w:rsidRDefault="002C5DF1" w:rsidP="002C5DF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пояснительная записка;</w:t>
      </w:r>
    </w:p>
    <w:p w:rsidR="002C5DF1" w:rsidRPr="009D5FD2" w:rsidRDefault="002C5DF1" w:rsidP="002C5DF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прочие документы и материалы, представленные вместе с Отчетом.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Согласно статье 36 БК РФ Отчет об исполнении местного бюджета за 1 полугодие размещен 25.07.2017 на официальном сайте органов местного самоуправления </w:t>
      </w:r>
      <w:r w:rsidRPr="004A772B">
        <w:rPr>
          <w:rFonts w:eastAsiaTheme="minorEastAsia"/>
          <w:sz w:val="26"/>
          <w:szCs w:val="26"/>
        </w:rPr>
        <w:t>(</w:t>
      </w:r>
      <w:hyperlink r:id="rId9" w:history="1">
        <w:r w:rsidRPr="004A772B">
          <w:rPr>
            <w:rFonts w:eastAsiaTheme="minorEastAsia"/>
            <w:sz w:val="26"/>
            <w:szCs w:val="26"/>
            <w:lang w:val="en-US"/>
          </w:rPr>
          <w:t>http</w:t>
        </w:r>
        <w:r w:rsidRPr="004A772B">
          <w:rPr>
            <w:rFonts w:eastAsiaTheme="minorEastAsia"/>
            <w:sz w:val="26"/>
            <w:szCs w:val="26"/>
          </w:rPr>
          <w:t>://krur.midural.ru</w:t>
        </w:r>
      </w:hyperlink>
      <w:r w:rsidRPr="004A772B">
        <w:rPr>
          <w:rFonts w:eastAsiaTheme="minorEastAsia"/>
          <w:sz w:val="26"/>
          <w:szCs w:val="26"/>
        </w:rPr>
        <w:t>)</w:t>
      </w:r>
      <w:r w:rsidRPr="009D5FD2">
        <w:rPr>
          <w:rFonts w:eastAsiaTheme="minorEastAsia"/>
          <w:sz w:val="26"/>
          <w:szCs w:val="26"/>
        </w:rPr>
        <w:t xml:space="preserve">. В соответствии с пунктом 5 статьи 44 Положения о бюджетном процессе Отчет опубликован в газете «Красноуральский рабочий» (№ 30 от 02.08.2017). 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В отчетном периоде местный бюджет исполнялся в соответствии с решением Думы от 21.12.2016 № 539 «О бюджете городского округа Красноуральск на 2017 год и плановый период 2018 и 2019 годов» (далее – решение о бюджете на 2017 год), сводной бюджетной росписью, утвержденной приказом финансового управления администрации городского округа Красноуральск от 28.12.2016 № 54 (в редакции от 30.06.2017 № 26).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lastRenderedPageBreak/>
        <w:t xml:space="preserve">В первом полугодии 2017 года были внесены изменения в показатели местного бюджета по решению Думы городского округа Красноуральск от 27.02.2017 № 557, от 10.05.2017 № 581, от 29.06.2017 № 597 (далее – решение Думы № 597). 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color w:val="000000"/>
          <w:sz w:val="26"/>
          <w:szCs w:val="26"/>
        </w:rPr>
      </w:pPr>
      <w:r w:rsidRPr="009D5FD2">
        <w:rPr>
          <w:rFonts w:eastAsiaTheme="minorEastAsia"/>
          <w:color w:val="000000"/>
          <w:sz w:val="26"/>
          <w:szCs w:val="26"/>
        </w:rPr>
        <w:t xml:space="preserve">В отчетном периоде бюджет исполнен с профицитом в сумме 19 304,4 тыс. руб. </w:t>
      </w:r>
    </w:p>
    <w:p w:rsidR="002C5DF1" w:rsidRPr="009D5FD2" w:rsidRDefault="002C5DF1" w:rsidP="002C5DF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2C5DF1" w:rsidRPr="009D5FD2" w:rsidRDefault="002C5DF1" w:rsidP="002C5DF1">
      <w:pPr>
        <w:jc w:val="both"/>
        <w:outlineLvl w:val="0"/>
        <w:rPr>
          <w:rFonts w:eastAsiaTheme="minorEastAsia"/>
          <w:b/>
          <w:i/>
          <w:sz w:val="26"/>
          <w:szCs w:val="26"/>
        </w:rPr>
      </w:pPr>
      <w:r w:rsidRPr="009D5FD2">
        <w:rPr>
          <w:rFonts w:eastAsiaTheme="minorEastAsia"/>
          <w:b/>
          <w:sz w:val="26"/>
          <w:szCs w:val="26"/>
        </w:rPr>
        <w:t>Доходы местного бюджета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Доходы местного бюджета за 1 полугодие 2017 года составили                      399 458,7 тыс. руб., что на 34 308,4 тыс. руб.(9,4 %) больше, чем за 1 полугодие 2016 года (365 150,3 тыс. руб.). 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Динамика поступления доходов в бюджет городского округа по сравнению с аналогичными показателями 2016 года и плановыми назначениями, утвержденными решением о бюджете на 2017 год, представлена в таблице 1. </w:t>
      </w:r>
    </w:p>
    <w:p w:rsidR="002C5DF1" w:rsidRPr="002C5DF1" w:rsidRDefault="002C5DF1" w:rsidP="002C5DF1">
      <w:pPr>
        <w:ind w:firstLine="567"/>
        <w:jc w:val="both"/>
        <w:rPr>
          <w:rFonts w:eastAsiaTheme="minorEastAsia"/>
        </w:rPr>
      </w:pPr>
    </w:p>
    <w:p w:rsidR="002C5DF1" w:rsidRPr="002C5DF1" w:rsidRDefault="002C5DF1" w:rsidP="002C5DF1">
      <w:pPr>
        <w:ind w:firstLine="567"/>
        <w:jc w:val="both"/>
        <w:rPr>
          <w:rFonts w:eastAsiaTheme="minorEastAsia"/>
        </w:rPr>
      </w:pPr>
      <w:r w:rsidRPr="002C5DF1">
        <w:rPr>
          <w:rFonts w:eastAsiaTheme="minorEastAsia"/>
        </w:rPr>
        <w:t xml:space="preserve">Таблица 1 (тыс. руб.)                                                                                                   </w:t>
      </w:r>
    </w:p>
    <w:tbl>
      <w:tblPr>
        <w:tblW w:w="9780" w:type="dxa"/>
        <w:tblInd w:w="93" w:type="dxa"/>
        <w:tblLook w:val="04A0"/>
      </w:tblPr>
      <w:tblGrid>
        <w:gridCol w:w="3340"/>
        <w:gridCol w:w="1420"/>
        <w:gridCol w:w="1180"/>
        <w:gridCol w:w="1440"/>
        <w:gridCol w:w="980"/>
        <w:gridCol w:w="1420"/>
      </w:tblGrid>
      <w:tr w:rsidR="002C5DF1" w:rsidRPr="002C5DF1" w:rsidTr="002F2CB2">
        <w:trPr>
          <w:trHeight w:val="168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Наименование источников доходов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Исполнение за 1 полугодие 2016 года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Объем доходов на 2017 год (согласно решению Думы №597)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Исполнение за 1 полугодие 2017 года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Рост (снижение) поступлений к поступлениям за 1 полугодие 2016 года     (гр.4-гр.2) 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Налоговые доходы,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148 770,0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252 878,1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113 503,1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-35 266,9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 -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109 358,4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170 396,1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73 615,7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-35 742,7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 - налог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3 956,2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7 908,0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4 062,0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105,8</w:t>
            </w:r>
          </w:p>
        </w:tc>
      </w:tr>
      <w:tr w:rsidR="002C5DF1" w:rsidRPr="002C5DF1" w:rsidTr="002F2CB2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 - налоги на товары (работы, услуги), реализуемые на территории РФ – акцизы по подакцизным товарам (продукции)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3 712,9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5 501,0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2 970,9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-742,0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 -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3 913,0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152,7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 -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29 767,8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61 752,0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30 960,0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1 192,2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 -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1 602,1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3 408,0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1 369,2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-232,9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Неналоговые доходы,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22 582,1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49 599,2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52 173,4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29 591,3</w:t>
            </w:r>
          </w:p>
        </w:tc>
      </w:tr>
      <w:tr w:rsidR="002C5DF1" w:rsidRPr="002C5DF1" w:rsidTr="002F2CB2">
        <w:trPr>
          <w:trHeight w:val="6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3 969,1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9 090,0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2 947,5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-1 021,6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 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244,1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-92,1</w:t>
            </w:r>
          </w:p>
        </w:tc>
      </w:tr>
      <w:tr w:rsidR="002C5DF1" w:rsidRPr="002C5DF1" w:rsidTr="002F2CB2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 - 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1 986,5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1 395,6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-590,9</w:t>
            </w:r>
          </w:p>
        </w:tc>
      </w:tr>
      <w:tr w:rsidR="002C5DF1" w:rsidRPr="002C5DF1" w:rsidTr="002F2CB2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 - платежи при пользовании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15 546,8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38 267,1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46 622,7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31 075,9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 xml:space="preserve"> - 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929,1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1 429,0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1 149,3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220,2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 прочие неналоговые доходы (невыясненные поступления)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-0,2</w:t>
            </w:r>
          </w:p>
        </w:tc>
      </w:tr>
      <w:tr w:rsidR="002C5DF1" w:rsidRPr="002C5DF1" w:rsidTr="002F2CB2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193 798,2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517 726,9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233 782,2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39 984,0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1 002,0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2 569,0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-360,0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 субсидии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46 419,4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218 455,0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53 713,2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7 293,8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 субвенции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150 129,5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283 247,7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166 188,4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16 058,9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1 399,0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1 125,4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-1 199,0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889,1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12 329,8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12 329,8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11 440,7</w:t>
            </w:r>
          </w:p>
        </w:tc>
      </w:tr>
      <w:tr w:rsidR="002C5DF1" w:rsidRPr="002C5DF1" w:rsidTr="002F2CB2">
        <w:trPr>
          <w:trHeight w:val="7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-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1 884,5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1 884,5</w:t>
            </w:r>
          </w:p>
        </w:tc>
      </w:tr>
      <w:tr w:rsidR="002C5DF1" w:rsidRPr="002C5DF1" w:rsidTr="002F2CB2">
        <w:trPr>
          <w:trHeight w:val="7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 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-6 040,8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-1 175,7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color w:val="000000"/>
                <w:sz w:val="18"/>
                <w:szCs w:val="18"/>
              </w:rPr>
              <w:t>4 865,1</w:t>
            </w:r>
          </w:p>
        </w:tc>
      </w:tr>
      <w:tr w:rsidR="002C5DF1" w:rsidRPr="002C5DF1" w:rsidTr="002F2CB2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365 150,3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820 204,2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399 458,7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34 308,4</w:t>
            </w:r>
          </w:p>
        </w:tc>
      </w:tr>
    </w:tbl>
    <w:p w:rsidR="002C5DF1" w:rsidRPr="002C5DF1" w:rsidRDefault="002C5DF1" w:rsidP="002C5DF1">
      <w:pPr>
        <w:ind w:firstLine="720"/>
        <w:jc w:val="both"/>
        <w:rPr>
          <w:rFonts w:eastAsiaTheme="minorEastAsia"/>
          <w:sz w:val="22"/>
          <w:szCs w:val="22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Объем поступлений за январь – июнь 2017 года составили 48,7 % от объема доходов, предусмотренных решением о бюджете на 2017 год, что выше на 2,6 % показателя аналогичного периода 2016 года, который составил 46,1 %.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Как следует из представленных данных, в целом исполнение плановых показателей по </w:t>
      </w:r>
      <w:r w:rsidRPr="009D5FD2">
        <w:rPr>
          <w:rFonts w:eastAsiaTheme="minorEastAsia"/>
          <w:b/>
          <w:sz w:val="26"/>
          <w:szCs w:val="26"/>
        </w:rPr>
        <w:t>налоговым и неналоговым доходам</w:t>
      </w:r>
      <w:r w:rsidRPr="009D5FD2">
        <w:rPr>
          <w:rFonts w:eastAsiaTheme="minorEastAsia"/>
          <w:sz w:val="26"/>
          <w:szCs w:val="26"/>
        </w:rPr>
        <w:t xml:space="preserve"> составило 165 676,5 тыс. руб. (54,8 %), что на 5 675,6 тыс. руб. меньше, чем за первое полугодие 2016 года.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Годовые бюджетные назначения по </w:t>
      </w:r>
      <w:r w:rsidRPr="009D5FD2">
        <w:rPr>
          <w:rFonts w:eastAsiaTheme="minorEastAsia"/>
          <w:b/>
          <w:sz w:val="26"/>
          <w:szCs w:val="26"/>
        </w:rPr>
        <w:t>налоговым доходам</w:t>
      </w:r>
      <w:r w:rsidRPr="009D5FD2">
        <w:rPr>
          <w:rFonts w:eastAsiaTheme="minorEastAsia"/>
          <w:sz w:val="26"/>
          <w:szCs w:val="26"/>
        </w:rPr>
        <w:t xml:space="preserve"> исполнены в размере от 13,4 % (по налогу на имущество физических лиц) до 54,0 % (по </w:t>
      </w:r>
      <w:r w:rsidRPr="009D5FD2">
        <w:rPr>
          <w:rFonts w:eastAsiaTheme="minorEastAsia"/>
          <w:color w:val="000000"/>
          <w:sz w:val="26"/>
          <w:szCs w:val="26"/>
        </w:rPr>
        <w:t>налогам на товары (работы, услуги), реализуемые на территории РФ</w:t>
      </w:r>
      <w:r w:rsidRPr="009D5FD2">
        <w:rPr>
          <w:rFonts w:eastAsiaTheme="minorEastAsia"/>
          <w:sz w:val="26"/>
          <w:szCs w:val="26"/>
        </w:rPr>
        <w:t>).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Общая сумма налоговых доходов за первое полугодие 2017 года исполнена на 35 266,9 тыс. руб. меньше, чем за аналогичный период 2016 года, однако по отношению к плановому показателю сумма исполнения за первое полугодие 2017 года (44,9 %) на 0,4 % больше, чем за первое полугодие 2016 года (44,5 %).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Сумма налога на доходы физических лиц, поступившая в бюджет городского округа, составила </w:t>
      </w:r>
      <w:r w:rsidRPr="009D5FD2">
        <w:rPr>
          <w:rFonts w:eastAsiaTheme="minorEastAsia"/>
          <w:color w:val="000000"/>
          <w:sz w:val="26"/>
          <w:szCs w:val="26"/>
        </w:rPr>
        <w:t xml:space="preserve">73 615,7 </w:t>
      </w:r>
      <w:r w:rsidRPr="009D5FD2">
        <w:rPr>
          <w:rFonts w:eastAsiaTheme="minorEastAsia"/>
          <w:sz w:val="26"/>
          <w:szCs w:val="26"/>
        </w:rPr>
        <w:t>тыс. руб., что на 35 742,7 тыс. руб. меньше, чем за аналогичный период прошлого года (исполнение за первое полугодие 2017 года составило 43,2 % от планового значения). Снижение поступлений в сравнении с прошлым годом произошло по причине снижения норматива отчислений в местный бюджет на 23,0 %.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color w:val="000000"/>
          <w:sz w:val="26"/>
          <w:szCs w:val="26"/>
        </w:rPr>
        <w:t>В местный бюджет поступило 4 062,0 тыс. руб. в виде налога на совокупный доход, что на 105,8 тыс. руб. больше, чем за первое полугодие 2016 года (исполнение  составило 51,4 %).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Акцизов по подакцизным товарам (продукции) поступило в размере 2 970,9 тыс. руб., что на 742,0 тыс. руб. меньше, чем за аналогичный период прошлого года (исполнение – 54,0 %). Снижение объема поступлений произошло в связи с сокращением количества налогоплательщиков по акцизам на автомобильный бензин.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Исполнение доходов в виде налога на имущество физических лиц составило в первом полугодии 525,3 тыс. руб. (13,4 %), что на 152,7 тыс. руб. больше, чем за аналогичный период 2016 года. Невыполнение плановых показателей связано с тем, что срок уплаты налога приходится на 4 квартал.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Сумма земельного налога, поступившая в бюджет городского округа, составила 30 960,0 тыс. руб., что на 1 192,2 тыс. руб. больше, чем за первое полугодие прошлого года (исполнено 50,1 % плановых показателей).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Размер государственной пошлины, поступившей в бюджет, составил 1 369,2 тыс. руб., что на 232,9 тыс. руб. меньше, чем за аналогичный период 2016 года (исполнение – 40,2 %). Сокращение поступлений и невыполнение плановых показателей произошло по причине нерегулярности поступления госпошлины по делам, рассматриваемым в судах общей юрисдикции, мировыми судьями. 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В целом налоговые доходы исполнены в сумме 113 503,1 тыс. руб., или 44,9 % утвержденных показателей.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Годовые бюджетные назначения по </w:t>
      </w:r>
      <w:r w:rsidRPr="009D5FD2">
        <w:rPr>
          <w:rFonts w:eastAsiaTheme="minorEastAsia"/>
          <w:b/>
          <w:sz w:val="26"/>
          <w:szCs w:val="26"/>
        </w:rPr>
        <w:t>неналоговым доходам</w:t>
      </w:r>
      <w:r w:rsidRPr="009D5FD2">
        <w:rPr>
          <w:rFonts w:eastAsiaTheme="minorEastAsia"/>
          <w:sz w:val="26"/>
          <w:szCs w:val="26"/>
        </w:rPr>
        <w:t xml:space="preserve"> исполнены в размере от 24,0 % (доходы от оказания платных услуг (работ)) до 245,3 % (доходы от продажи материальных и нематериальных активов).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В целом по всем видам неналоговых доходов исполнение за первое полугодие 2017 года составило 52 173,4 тыс. руб. (105,2 %), что на 29 591,3 тыс. руб. больше аналогичного периода прошлого года, в том числе: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- </w:t>
      </w:r>
      <w:r w:rsidRPr="009D5FD2">
        <w:rPr>
          <w:rFonts w:eastAsiaTheme="minorEastAsia"/>
          <w:color w:val="000000"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 w:rsidRPr="009D5FD2">
        <w:rPr>
          <w:rFonts w:eastAsiaTheme="minorEastAsia"/>
          <w:sz w:val="26"/>
          <w:szCs w:val="26"/>
        </w:rPr>
        <w:t xml:space="preserve"> составили 2 947,5 тыс. руб. или 32,4 % плановых показателей 2017 года, что на 1 021,6 тыс. руб. меньше аналогичного периода 2016 года. Снижение поступлений и невыполнение плановых показателей связано с недополучением местным бюджетом платежей по арендной плате;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доходы от оказания платных услуг (работ) исполнены в размере 58,5 тыс. руб. (24,0 %), что на 92,1 тыс. руб. меньше исполнения указанных доходов за первое полугодие 2016 года. В первом полугодии 2017 года были возвращены в местный бюджет неиспользованные остатки субсидии по питанию детей и средства от благотворительности за 2016 год (поездка в ДСОК «Жемчужина России»);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сумма средств, поступивших в бюджет в виде доходов от продажи материальных и нематериальных активов, составила 1 395,6 тыс. руб. или 245,3 % плановых назначений. Перевыполнение плана произошло в связи с поступлением задолженности прошлых лет, а также в связи с увеличением количества договоров купли-продажи земельных участков;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платежи при пользовании природными ресурсами составили 46 622,7 тыс. руб. или 121,8 % от плановых назначений. Перевыполнение плановых показателей и рост поступлений произошло в связи с поступлением в местный бюджет платежей, доначисленных главным администратором доходов по акту проверки ОАО «Святогор»;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сумма поступивших в бюджет в первом полугодии 2017 года штрафов, санкций, возмещения ущерба составила 1 149,3 тыс. руб. или 80,4 % от утвержденных на год назначений, что на 220,2 тыс. руб. больше исполнения за аналогичный период 2016 года.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Исполнение </w:t>
      </w:r>
      <w:r w:rsidRPr="009D5FD2">
        <w:rPr>
          <w:rFonts w:eastAsiaTheme="minorEastAsia"/>
          <w:b/>
          <w:sz w:val="26"/>
          <w:szCs w:val="26"/>
        </w:rPr>
        <w:t>безвозмездных поступлений</w:t>
      </w:r>
      <w:r w:rsidRPr="009D5FD2">
        <w:rPr>
          <w:rFonts w:eastAsiaTheme="minorEastAsia"/>
          <w:sz w:val="26"/>
          <w:szCs w:val="26"/>
        </w:rPr>
        <w:t xml:space="preserve"> от других бюджетов бюджетной системы Российской Федерации составило 220 743,6 тыс. руб. или 43,7 % годовых плановых показателей, что на 21 793,7 тыс. руб. больше исполнения за первое полугодие 2016 года.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Сумма поступивших в бюджет городского округа дотаций в первом полугодии 2017 года составила 642,0 тыс. руб. или 25,0 % от годовых плановых назначений, что на 360,0 тыс. руб. меньше исполнения за первое полугодие прошлого года.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Субсидий поступило на 7 293,8 тыс. руб. больше, чем за аналогичный период прошлого года, исполнение составило 53 713,2 тыс. руб. или 24,6 % от плана.</w:t>
      </w:r>
    </w:p>
    <w:p w:rsidR="002C5DF1" w:rsidRPr="009D5FD2" w:rsidRDefault="002C5DF1" w:rsidP="002C5DF1">
      <w:pPr>
        <w:ind w:firstLine="567"/>
        <w:contextualSpacing/>
        <w:jc w:val="both"/>
        <w:rPr>
          <w:sz w:val="26"/>
          <w:szCs w:val="26"/>
        </w:rPr>
      </w:pPr>
      <w:r w:rsidRPr="009D5FD2">
        <w:rPr>
          <w:sz w:val="26"/>
          <w:szCs w:val="26"/>
        </w:rPr>
        <w:t>Субвенций – на 16 058,9 тыс. руб. больше, чем за 1 полугодие 2016 года, бюджетные назначения исполнены на 58,7 % в сумме 166 188,4 тыс. руб.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Иные межбюджетные трансферты – на 1 199,0 тыс. руб. меньше, исполнение составило 17,8 % в сумме 200,0 тыс. руб.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Исполнение по прочим безвозмездным поступлениям составило 100,0 % от плановых показателей в сумме 12 329,8 тыс. руб.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lastRenderedPageBreak/>
        <w:t>Сумма поступлений в виде доходов бюджетов бюджетной системы Российской Федерации от возврата организациями остатков субсидий прошлых лет составила 1 884,5 тыс. руб.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В связи с невостребованностью произведен возврат целевых средств 2016 года в областной бюджет в сумме 1 175,7 тыс. руб. 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Таким образом, удельный вес суммы исполнения налоговых и неналоговых доходов за первое полугодие 2017 года составил 41,5 %, межбюджетных трансфертов – 58,5 %, что на 5,4 % отличается от исполнения              за январь – июнь 2016 года – 46,9 % и 53,1 % соответственно. 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Основными причинами отклонения остаются: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 1) значительное сокращение </w:t>
      </w:r>
      <w:r w:rsidRPr="009D5FD2">
        <w:rPr>
          <w:rFonts w:eastAsiaTheme="minorEastAsia"/>
          <w:b/>
          <w:sz w:val="26"/>
          <w:szCs w:val="26"/>
        </w:rPr>
        <w:t>налоговых доходов</w:t>
      </w:r>
      <w:r w:rsidRPr="009D5FD2">
        <w:rPr>
          <w:rFonts w:eastAsiaTheme="minorEastAsia"/>
          <w:sz w:val="26"/>
          <w:szCs w:val="26"/>
        </w:rPr>
        <w:t xml:space="preserve">  на </w:t>
      </w:r>
      <w:r w:rsidRPr="009D5FD2">
        <w:rPr>
          <w:rFonts w:eastAsiaTheme="minorEastAsia"/>
          <w:bCs/>
          <w:color w:val="000000"/>
          <w:sz w:val="26"/>
          <w:szCs w:val="26"/>
        </w:rPr>
        <w:t>35 266,9</w:t>
      </w:r>
      <w:r w:rsidRPr="009D5FD2">
        <w:rPr>
          <w:rFonts w:eastAsiaTheme="minorEastAsia"/>
          <w:sz w:val="26"/>
          <w:szCs w:val="26"/>
        </w:rPr>
        <w:t xml:space="preserve"> тыс. руб., по сравнению с аналогичным периодом 2016 года, связано в основном со снижением поступлений в виде налога на доходы физических лиц в доле местного бюджета в связи с сокращением норматива отчислений по налогу на доходы физических лиц с 50 % в 2016 году до 27 % в 2017 году;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2) увеличение </w:t>
      </w:r>
      <w:r w:rsidRPr="009D5FD2">
        <w:rPr>
          <w:rFonts w:eastAsiaTheme="minorEastAsia"/>
          <w:b/>
          <w:sz w:val="26"/>
          <w:szCs w:val="26"/>
        </w:rPr>
        <w:t>неналоговых доходов</w:t>
      </w:r>
      <w:r w:rsidRPr="009D5FD2">
        <w:rPr>
          <w:rFonts w:eastAsiaTheme="minorEastAsia"/>
          <w:sz w:val="26"/>
          <w:szCs w:val="26"/>
        </w:rPr>
        <w:t xml:space="preserve"> на 29 591,3 тыс. руб. в основном происходит за счет увеличения платы за негативное воздействие на окружающую среду. За первое полугодие 2017 года в доход бюджета поступило 46 622,7 тыс. руб., что составляет 121,8 % от плана. Перевыполнение плана по доходам произошло в связи с поступлением платежей от ОАО «Святогор», доначисленных главным администратором доходов по акту проверки. </w:t>
      </w:r>
    </w:p>
    <w:p w:rsidR="002C5DF1" w:rsidRPr="009D5FD2" w:rsidRDefault="002C5DF1" w:rsidP="002C5DF1">
      <w:pPr>
        <w:ind w:firstLine="567"/>
        <w:jc w:val="both"/>
        <w:outlineLvl w:val="0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3) увеличение </w:t>
      </w:r>
      <w:r w:rsidRPr="009D5FD2">
        <w:rPr>
          <w:rFonts w:eastAsiaTheme="minorEastAsia"/>
          <w:b/>
          <w:sz w:val="26"/>
          <w:szCs w:val="26"/>
        </w:rPr>
        <w:t>безвозмездных поступлений</w:t>
      </w:r>
      <w:r w:rsidRPr="009D5FD2">
        <w:rPr>
          <w:rFonts w:eastAsiaTheme="minorEastAsia"/>
          <w:sz w:val="26"/>
          <w:szCs w:val="26"/>
        </w:rPr>
        <w:t xml:space="preserve"> по сравнению с аналогичным периодом прошлого года составило 21 793,7 тыс. руб. Безвозмездные поступления в сумме 220 743,6 тыс. руб. поступили в объеме фактической потребности, в соответствии с заключенными соглашениями или заявками городского округа. </w:t>
      </w:r>
    </w:p>
    <w:p w:rsidR="002C5DF1" w:rsidRPr="009D5FD2" w:rsidRDefault="002C5DF1" w:rsidP="002C5DF1">
      <w:pPr>
        <w:jc w:val="both"/>
        <w:rPr>
          <w:rFonts w:eastAsiaTheme="minorEastAsia"/>
          <w:b/>
          <w:sz w:val="26"/>
          <w:szCs w:val="26"/>
          <w:highlight w:val="yellow"/>
        </w:rPr>
      </w:pPr>
    </w:p>
    <w:p w:rsidR="002C5DF1" w:rsidRPr="009D5FD2" w:rsidRDefault="002C5DF1" w:rsidP="002C5DF1">
      <w:pPr>
        <w:jc w:val="both"/>
        <w:rPr>
          <w:rFonts w:eastAsiaTheme="minorEastAsia"/>
          <w:b/>
          <w:sz w:val="26"/>
          <w:szCs w:val="26"/>
        </w:rPr>
      </w:pPr>
      <w:r w:rsidRPr="009D5FD2">
        <w:rPr>
          <w:rFonts w:eastAsiaTheme="minorEastAsia"/>
          <w:b/>
          <w:sz w:val="26"/>
          <w:szCs w:val="26"/>
        </w:rPr>
        <w:t>Расходы местного бюджета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Расходы  местного бюджета за первое полугодие2017 года составили 380 154,3 тыс. руб., что на 29 984,3 тыс. руб. или на 8,6 % больше, чем за первое полугодие 2016 года. 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Исполнение расходов за январь – июнь 2017 годасоставило 42,7 % от утвержденных решением о бюджете на 2017 год (в редакции решения Думы №597) плановых назначений</w:t>
      </w:r>
      <w:r w:rsidRPr="009D5FD2">
        <w:rPr>
          <w:rFonts w:eastAsiaTheme="minorEastAsia"/>
          <w:color w:val="000000"/>
          <w:sz w:val="26"/>
          <w:szCs w:val="26"/>
        </w:rPr>
        <w:t>(в</w:t>
      </w:r>
      <w:r w:rsidRPr="009D5FD2">
        <w:rPr>
          <w:rFonts w:eastAsiaTheme="minorEastAsia"/>
          <w:sz w:val="26"/>
          <w:szCs w:val="26"/>
        </w:rPr>
        <w:t xml:space="preserve"> 2016 году – 44,9 %).</w:t>
      </w:r>
    </w:p>
    <w:p w:rsidR="002C5DF1" w:rsidRPr="009D5FD2" w:rsidRDefault="002C5DF1" w:rsidP="002C5DF1">
      <w:pPr>
        <w:widowControl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Анализ исполнения плановых назначений местного бюджета по расходам в разрезе разделов бюджетной классификации за первое полугодие 2017 года,  в  сравнении  с  аналогичным  периодом 2016 года представлен в таблице 2.</w:t>
      </w:r>
    </w:p>
    <w:p w:rsidR="002C5DF1" w:rsidRDefault="002C5DF1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9D5FD2" w:rsidRPr="009D5FD2" w:rsidRDefault="009D5FD2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</w:p>
    <w:p w:rsidR="002C5DF1" w:rsidRPr="009D5FD2" w:rsidRDefault="002C5DF1" w:rsidP="002C5DF1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lastRenderedPageBreak/>
        <w:t xml:space="preserve"> Таблица 2 (тыс. руб.)</w:t>
      </w:r>
    </w:p>
    <w:tbl>
      <w:tblPr>
        <w:tblW w:w="9823" w:type="dxa"/>
        <w:tblInd w:w="93" w:type="dxa"/>
        <w:tblLook w:val="04A0"/>
      </w:tblPr>
      <w:tblGrid>
        <w:gridCol w:w="3914"/>
        <w:gridCol w:w="1359"/>
        <w:gridCol w:w="1236"/>
        <w:gridCol w:w="1161"/>
        <w:gridCol w:w="816"/>
        <w:gridCol w:w="1337"/>
      </w:tblGrid>
      <w:tr w:rsidR="002C5DF1" w:rsidRPr="002C5DF1" w:rsidTr="002F2CB2">
        <w:trPr>
          <w:trHeight w:val="1440"/>
        </w:trPr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Наименование    расходов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Исполнение за 1 полугодие 2016 года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Объем расходов на 2017 год (согласно решению Думы №597)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Исполнение за 1 полугодие</w:t>
            </w:r>
          </w:p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 xml:space="preserve"> 2017 года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 xml:space="preserve">Рост (снижение) расходов </w:t>
            </w:r>
            <w:r w:rsidRPr="002C5DF1">
              <w:rPr>
                <w:rFonts w:eastAsiaTheme="minorEastAsia"/>
                <w:sz w:val="20"/>
                <w:szCs w:val="20"/>
              </w:rPr>
              <w:br/>
              <w:t>к расходам за  1 полугодие</w:t>
            </w:r>
          </w:p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 xml:space="preserve">2016 года </w:t>
            </w:r>
            <w:r w:rsidRPr="002C5DF1">
              <w:rPr>
                <w:rFonts w:eastAsiaTheme="minorEastAsia"/>
                <w:sz w:val="20"/>
                <w:szCs w:val="20"/>
              </w:rPr>
              <w:br/>
              <w:t>(гр.4-гр.2)</w:t>
            </w:r>
          </w:p>
        </w:tc>
      </w:tr>
      <w:tr w:rsidR="002C5DF1" w:rsidRPr="002C5DF1" w:rsidTr="002F2CB2">
        <w:trPr>
          <w:trHeight w:val="509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C5DF1" w:rsidRPr="002C5DF1" w:rsidTr="002F2CB2">
        <w:trPr>
          <w:trHeight w:val="330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тыс. руб.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C5DF1" w:rsidRPr="002C5DF1" w:rsidTr="002F2CB2">
        <w:trPr>
          <w:trHeight w:val="300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2C5DF1" w:rsidRPr="002C5DF1" w:rsidTr="002F2CB2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26 931,7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62 239,0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28 063,5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45,1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1 131,8</w:t>
            </w:r>
          </w:p>
        </w:tc>
      </w:tr>
      <w:tr w:rsidR="002C5DF1" w:rsidRPr="002C5DF1" w:rsidTr="002F2CB2">
        <w:trPr>
          <w:trHeight w:val="57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1 738,5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8 102,4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2 190,1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451,6</w:t>
            </w:r>
          </w:p>
        </w:tc>
      </w:tr>
      <w:tr w:rsidR="002C5DF1" w:rsidRPr="002C5DF1" w:rsidTr="002F2CB2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15 779,6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56 342,7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14 514,3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-1 265,3</w:t>
            </w:r>
          </w:p>
        </w:tc>
      </w:tr>
      <w:tr w:rsidR="002C5DF1" w:rsidRPr="002C5DF1" w:rsidTr="002F2CB2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18 437,7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127 645,0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28 394,3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22,2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9 956,6</w:t>
            </w:r>
          </w:p>
        </w:tc>
      </w:tr>
      <w:tr w:rsidR="002C5DF1" w:rsidRPr="002C5DF1" w:rsidTr="002F2CB2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971,3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2 631,0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1 081,1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109,8</w:t>
            </w:r>
          </w:p>
        </w:tc>
      </w:tr>
      <w:tr w:rsidR="002C5DF1" w:rsidRPr="002C5DF1" w:rsidTr="002F2CB2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224 727,1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488 916,5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235 134,0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48,1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10 406,9</w:t>
            </w:r>
          </w:p>
        </w:tc>
      </w:tr>
      <w:tr w:rsidR="002C5DF1" w:rsidRPr="002C5DF1" w:rsidTr="002F2CB2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21 700,0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54 473,7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24 358,6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44,7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2 658,6</w:t>
            </w:r>
          </w:p>
        </w:tc>
      </w:tr>
      <w:tr w:rsidR="002C5DF1" w:rsidRPr="002C5DF1" w:rsidTr="002F2CB2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30 168,2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65 684,7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34 519,6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52,6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4 351,4</w:t>
            </w:r>
          </w:p>
        </w:tc>
      </w:tr>
      <w:tr w:rsidR="002C5DF1" w:rsidRPr="002C5DF1" w:rsidTr="002F2CB2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9 182,2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23 575,0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11 267,5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2 085,3</w:t>
            </w:r>
          </w:p>
        </w:tc>
      </w:tr>
      <w:tr w:rsidR="002C5DF1" w:rsidRPr="002C5DF1" w:rsidTr="002F2CB2">
        <w:trPr>
          <w:trHeight w:val="36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1 400,0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630,0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45,0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100,0</w:t>
            </w:r>
          </w:p>
        </w:tc>
      </w:tr>
      <w:tr w:rsidR="002C5DF1" w:rsidRPr="002C5DF1" w:rsidTr="002F2CB2">
        <w:trPr>
          <w:trHeight w:val="675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25,0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>-2,4</w:t>
            </w:r>
          </w:p>
        </w:tc>
      </w:tr>
      <w:tr w:rsidR="002C5DF1" w:rsidRPr="002C5DF1" w:rsidTr="002F2CB2">
        <w:trPr>
          <w:trHeight w:val="420"/>
        </w:trPr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C5DF1">
              <w:rPr>
                <w:rFonts w:eastAsiaTheme="minorEastAsia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C5DF1">
              <w:rPr>
                <w:rFonts w:eastAsiaTheme="minorEastAsia"/>
                <w:b/>
                <w:bCs/>
                <w:sz w:val="20"/>
                <w:szCs w:val="20"/>
              </w:rPr>
              <w:t>350 170,0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C5DF1">
              <w:rPr>
                <w:rFonts w:eastAsiaTheme="minorEastAsia"/>
                <w:b/>
                <w:bCs/>
                <w:sz w:val="20"/>
                <w:szCs w:val="20"/>
              </w:rPr>
              <w:t>891 015,2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C5DF1">
              <w:rPr>
                <w:rFonts w:eastAsiaTheme="minorEastAsia"/>
                <w:b/>
                <w:bCs/>
                <w:sz w:val="20"/>
                <w:szCs w:val="20"/>
              </w:rPr>
              <w:t>380 154,3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C5DF1">
              <w:rPr>
                <w:rFonts w:eastAsiaTheme="minorEastAsia"/>
                <w:b/>
                <w:bCs/>
                <w:sz w:val="20"/>
                <w:szCs w:val="20"/>
              </w:rPr>
              <w:t>42,7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C5DF1">
              <w:rPr>
                <w:rFonts w:eastAsiaTheme="minorEastAsia"/>
                <w:b/>
                <w:bCs/>
                <w:sz w:val="20"/>
                <w:szCs w:val="20"/>
              </w:rPr>
              <w:t>29 984,3</w:t>
            </w:r>
          </w:p>
        </w:tc>
      </w:tr>
    </w:tbl>
    <w:p w:rsidR="002C5DF1" w:rsidRPr="002C5DF1" w:rsidRDefault="002C5DF1" w:rsidP="002C5DF1">
      <w:pPr>
        <w:ind w:firstLine="567"/>
        <w:jc w:val="both"/>
        <w:rPr>
          <w:rFonts w:eastAsiaTheme="minorEastAsia"/>
          <w:sz w:val="22"/>
          <w:szCs w:val="22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Из данных таблицы, видно, что исполнение выше общего процента исполнения бюджета по расходам (42,7 %) наблюдается по шести разделам из одиннадцати: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45,1 % - «Общегосударственные вопросы»;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48,1 % - «Образование</w:t>
      </w:r>
      <w:r w:rsidRPr="009D5FD2">
        <w:rPr>
          <w:rFonts w:eastAsiaTheme="minorEastAsia"/>
          <w:color w:val="000000"/>
          <w:sz w:val="26"/>
          <w:szCs w:val="26"/>
        </w:rPr>
        <w:t>»;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44,7 % - «</w:t>
      </w:r>
      <w:r w:rsidRPr="009D5FD2">
        <w:rPr>
          <w:rFonts w:eastAsiaTheme="minorEastAsia"/>
          <w:color w:val="000000"/>
          <w:sz w:val="26"/>
          <w:szCs w:val="26"/>
        </w:rPr>
        <w:t>Культура, кинематография»;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52,6 % - «</w:t>
      </w:r>
      <w:r w:rsidRPr="009D5FD2">
        <w:rPr>
          <w:rFonts w:eastAsiaTheme="minorEastAsia"/>
          <w:color w:val="000000"/>
          <w:sz w:val="26"/>
          <w:szCs w:val="26"/>
        </w:rPr>
        <w:t>Социальная политика</w:t>
      </w:r>
      <w:r w:rsidRPr="009D5FD2">
        <w:rPr>
          <w:rFonts w:eastAsiaTheme="minorEastAsia"/>
          <w:sz w:val="26"/>
          <w:szCs w:val="26"/>
        </w:rPr>
        <w:t>»;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47,8 %  -«</w:t>
      </w:r>
      <w:r w:rsidRPr="009D5FD2">
        <w:rPr>
          <w:rFonts w:eastAsiaTheme="minorEastAsia"/>
          <w:color w:val="000000"/>
          <w:sz w:val="26"/>
          <w:szCs w:val="26"/>
        </w:rPr>
        <w:t>Физическая культура и спорт</w:t>
      </w:r>
      <w:r w:rsidRPr="009D5FD2">
        <w:rPr>
          <w:rFonts w:eastAsiaTheme="minorEastAsia"/>
          <w:sz w:val="26"/>
          <w:szCs w:val="26"/>
        </w:rPr>
        <w:t>»;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45,0 % - «Средства массовой информации».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  <w:highlight w:val="yellow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Низкий процент исполнения наблюдается по пяти разделам: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«</w:t>
      </w:r>
      <w:r w:rsidRPr="009D5FD2">
        <w:rPr>
          <w:rFonts w:eastAsiaTheme="minorEastAsia"/>
          <w:color w:val="000000"/>
          <w:sz w:val="26"/>
          <w:szCs w:val="26"/>
        </w:rPr>
        <w:t>Национальная безопасность и правоохранительная деятельность» -</w:t>
      </w:r>
      <w:r w:rsidRPr="009D5FD2">
        <w:rPr>
          <w:rFonts w:eastAsiaTheme="minorEastAsia"/>
          <w:sz w:val="26"/>
          <w:szCs w:val="26"/>
        </w:rPr>
        <w:t xml:space="preserve"> 27,0%;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«</w:t>
      </w:r>
      <w:r w:rsidRPr="009D5FD2">
        <w:rPr>
          <w:rFonts w:eastAsiaTheme="minorEastAsia"/>
          <w:color w:val="000000"/>
          <w:sz w:val="26"/>
          <w:szCs w:val="26"/>
        </w:rPr>
        <w:t>Национальная экономика</w:t>
      </w:r>
      <w:r w:rsidRPr="009D5FD2">
        <w:rPr>
          <w:rFonts w:eastAsiaTheme="minorEastAsia"/>
          <w:sz w:val="26"/>
          <w:szCs w:val="26"/>
        </w:rPr>
        <w:t>» - 25,8 %;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«</w:t>
      </w:r>
      <w:r w:rsidRPr="009D5FD2">
        <w:rPr>
          <w:rFonts w:eastAsiaTheme="minorEastAsia"/>
          <w:color w:val="000000"/>
          <w:sz w:val="26"/>
          <w:szCs w:val="26"/>
        </w:rPr>
        <w:t>Жилищно-коммунальное хозяйство</w:t>
      </w:r>
      <w:r w:rsidRPr="009D5FD2">
        <w:rPr>
          <w:rFonts w:eastAsiaTheme="minorEastAsia"/>
          <w:sz w:val="26"/>
          <w:szCs w:val="26"/>
        </w:rPr>
        <w:t>» - 22,2 %;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«Охрана</w:t>
      </w:r>
      <w:r w:rsidRPr="009D5FD2">
        <w:rPr>
          <w:rFonts w:eastAsiaTheme="minorEastAsia"/>
          <w:color w:val="000000"/>
          <w:sz w:val="26"/>
          <w:szCs w:val="26"/>
        </w:rPr>
        <w:t xml:space="preserve"> окружающей среды» - 41,1 %;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- «Обслуживание государственного и муниципального долга» - 25,0 %.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Причинами исполнения показателей по расходам ниже общего процента исполнения бюджета по расходам стали длительность проведения конкурсных процедур и заключения договоров с исполнителями работ, сезонность отдельных видов работ, необходимость резервирования средств и др.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lastRenderedPageBreak/>
        <w:t xml:space="preserve">Приоритетным направлением расходования средств бюджета по разделам за первое полугодие 2017 года является социальная сфера (образование, культура, физическая культура и спорт, социальная политика) – 305 279,7 тыс. руб. или 80,3 % в общем объеме кассовых расходов. Согласно Отчету удельный вес фактических расходов на социальную сферу сложился выше запланировано уровня (71,0 %) на 9,3 %, однако исполнение расходов на социальную сферу в первом полугодии 2017 года ниже исполнения за аналогичный период 2016 года, где доля расходов на социальную сферу составила 81,6% общей суммы кассовых расходов. 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Ведомственной структурой расходов местного бюджета на 2017 год бюджетные ассигнования установлены пяти главным распорядителям средств бюджета городского округа Красноуральск.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Исполнение расходов местного бюджета за первое полугодие 2017 года в разрезе главных распорядителей средств бюджета представлено в таблице 3.</w:t>
      </w:r>
    </w:p>
    <w:p w:rsidR="002C5DF1" w:rsidRPr="009D5FD2" w:rsidRDefault="002C5DF1" w:rsidP="002C5DF1">
      <w:pPr>
        <w:ind w:firstLine="708"/>
        <w:jc w:val="both"/>
        <w:rPr>
          <w:rFonts w:eastAsiaTheme="minorEastAsia"/>
          <w:sz w:val="26"/>
          <w:szCs w:val="26"/>
        </w:rPr>
      </w:pPr>
    </w:p>
    <w:p w:rsidR="002C5DF1" w:rsidRPr="002C5DF1" w:rsidRDefault="002C5DF1" w:rsidP="002C5DF1">
      <w:pPr>
        <w:ind w:firstLine="708"/>
        <w:jc w:val="both"/>
        <w:rPr>
          <w:rFonts w:eastAsiaTheme="minorEastAsia"/>
        </w:rPr>
      </w:pPr>
      <w:r w:rsidRPr="002C5DF1">
        <w:rPr>
          <w:rFonts w:eastAsiaTheme="minorEastAsia"/>
        </w:rPr>
        <w:t>Таблица 3 (тыс. руб.)</w:t>
      </w:r>
    </w:p>
    <w:tbl>
      <w:tblPr>
        <w:tblW w:w="9248" w:type="dxa"/>
        <w:tblInd w:w="93" w:type="dxa"/>
        <w:tblLook w:val="04A0"/>
      </w:tblPr>
      <w:tblGrid>
        <w:gridCol w:w="739"/>
        <w:gridCol w:w="3654"/>
        <w:gridCol w:w="1240"/>
        <w:gridCol w:w="1328"/>
        <w:gridCol w:w="940"/>
        <w:gridCol w:w="1347"/>
      </w:tblGrid>
      <w:tr w:rsidR="002C5DF1" w:rsidRPr="002C5DF1" w:rsidTr="002F2CB2">
        <w:trPr>
          <w:trHeight w:val="14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Код ГРБС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Наименование ГРБС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Объем расходов на 2017 год (согласно решению Думы №597)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Исполнение за 1 полугодие 2017 года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Отклонение (гр.4-гр.3)</w:t>
            </w:r>
          </w:p>
        </w:tc>
      </w:tr>
      <w:tr w:rsidR="002C5DF1" w:rsidRPr="002C5DF1" w:rsidTr="002F2CB2">
        <w:trPr>
          <w:trHeight w:val="50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C5DF1" w:rsidRPr="002C5DF1" w:rsidTr="002F2CB2">
        <w:trPr>
          <w:trHeight w:val="33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тыс. 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C5DF1" w:rsidRPr="002C5DF1" w:rsidTr="002F2CB2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2C5DF1" w:rsidRPr="002C5DF1" w:rsidTr="002F2CB2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029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Красноуральская городская территориальная избирательная комиссия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2 790,0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2 790,0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0,0</w:t>
            </w:r>
          </w:p>
        </w:tc>
      </w:tr>
      <w:tr w:rsidR="002C5DF1" w:rsidRPr="002C5DF1" w:rsidTr="002F2CB2">
        <w:trPr>
          <w:trHeight w:val="5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901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Администрация городского округа Красноуральск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873 230,2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370 094,7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-503 135,5</w:t>
            </w:r>
          </w:p>
        </w:tc>
      </w:tr>
      <w:tr w:rsidR="002C5DF1" w:rsidRPr="002C5DF1" w:rsidTr="002F2CB2">
        <w:trPr>
          <w:trHeight w:val="5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912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Дума городского округа Красноуральск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4 700,0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2 071,2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44,1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-2 628,8</w:t>
            </w:r>
          </w:p>
        </w:tc>
      </w:tr>
      <w:tr w:rsidR="002C5DF1" w:rsidRPr="002C5DF1" w:rsidTr="002F2CB2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913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Контрольный органа городского округа Красноуральск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2 495,0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1 155,2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-1 339,8</w:t>
            </w:r>
          </w:p>
        </w:tc>
      </w:tr>
      <w:tr w:rsidR="002C5DF1" w:rsidRPr="002C5DF1" w:rsidTr="002F2CB2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919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Финансовое управление администрации городского округа Красноуральск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7 800,0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4 043,2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51,8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-3 756,8</w:t>
            </w:r>
          </w:p>
        </w:tc>
      </w:tr>
      <w:tr w:rsidR="002C5DF1" w:rsidRPr="002C5DF1" w:rsidTr="002F2CB2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sz w:val="22"/>
                <w:szCs w:val="22"/>
              </w:rPr>
              <w:t>891 015,2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sz w:val="22"/>
                <w:szCs w:val="22"/>
              </w:rPr>
              <w:t>380 154,3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sz w:val="22"/>
                <w:szCs w:val="22"/>
              </w:rPr>
              <w:t>42,7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sz w:val="22"/>
                <w:szCs w:val="22"/>
              </w:rPr>
              <w:t>-510 860,9</w:t>
            </w:r>
          </w:p>
        </w:tc>
      </w:tr>
    </w:tbl>
    <w:p w:rsidR="002C5DF1" w:rsidRPr="002C5DF1" w:rsidRDefault="002C5DF1" w:rsidP="002C5DF1">
      <w:pPr>
        <w:ind w:firstLine="708"/>
        <w:jc w:val="both"/>
        <w:rPr>
          <w:rFonts w:eastAsiaTheme="minorEastAsia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Рассмотрев исполнение бюджета за первое полугодие 2017 года по расходам в разрезе главных распорядителей бюджетных средств можно сделать вывод, что исполнение на уровне и выше общего процента исполнения бюджета  по расходам (42,7 %) наблюдается по четырем главным распорядителям бюджетных средств. </w:t>
      </w:r>
    </w:p>
    <w:p w:rsidR="002C5DF1" w:rsidRPr="009D5FD2" w:rsidRDefault="002C5DF1" w:rsidP="002C5DF1">
      <w:pPr>
        <w:ind w:firstLine="708"/>
        <w:jc w:val="both"/>
        <w:rPr>
          <w:rFonts w:eastAsiaTheme="minorEastAsia"/>
          <w:b/>
          <w:sz w:val="26"/>
          <w:szCs w:val="26"/>
        </w:rPr>
      </w:pPr>
    </w:p>
    <w:p w:rsidR="002C5DF1" w:rsidRPr="009D5FD2" w:rsidRDefault="002C5DF1" w:rsidP="002C5DF1">
      <w:pPr>
        <w:ind w:firstLine="708"/>
        <w:jc w:val="both"/>
        <w:rPr>
          <w:rFonts w:eastAsiaTheme="minorEastAsia"/>
          <w:b/>
          <w:sz w:val="26"/>
          <w:szCs w:val="26"/>
        </w:rPr>
      </w:pPr>
      <w:r w:rsidRPr="009D5FD2">
        <w:rPr>
          <w:rFonts w:eastAsiaTheme="minorEastAsia"/>
          <w:b/>
          <w:sz w:val="26"/>
          <w:szCs w:val="26"/>
        </w:rPr>
        <w:t>Муниципальные программы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color w:val="000000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Общий объем финансирования15 муниципальных программ утвержден р</w:t>
      </w:r>
      <w:r w:rsidRPr="009D5FD2">
        <w:rPr>
          <w:rFonts w:eastAsiaTheme="minorEastAsia"/>
          <w:bCs/>
          <w:sz w:val="26"/>
          <w:szCs w:val="26"/>
        </w:rPr>
        <w:t xml:space="preserve">ешением </w:t>
      </w:r>
      <w:r w:rsidRPr="009D5FD2">
        <w:rPr>
          <w:rFonts w:eastAsiaTheme="minorEastAsia"/>
          <w:sz w:val="26"/>
          <w:szCs w:val="26"/>
        </w:rPr>
        <w:t xml:space="preserve">Думы № 597 в размере </w:t>
      </w:r>
      <w:r w:rsidRPr="009D5FD2">
        <w:rPr>
          <w:rFonts w:eastAsiaTheme="minorEastAsia"/>
          <w:bCs/>
          <w:sz w:val="26"/>
          <w:szCs w:val="26"/>
        </w:rPr>
        <w:t>755 365,4</w:t>
      </w:r>
      <w:r w:rsidRPr="009D5FD2">
        <w:rPr>
          <w:rFonts w:eastAsiaTheme="minorEastAsia"/>
          <w:sz w:val="26"/>
          <w:szCs w:val="26"/>
        </w:rPr>
        <w:t xml:space="preserve"> тыс. руб. Бюджетные ассигнования, предусмотренные на финансовое обеспечение выполнения мероприятий муниципальных программ, составляют 84,8 </w:t>
      </w:r>
      <w:r w:rsidRPr="009D5FD2">
        <w:rPr>
          <w:rFonts w:eastAsiaTheme="minorEastAsia"/>
          <w:color w:val="000000"/>
          <w:sz w:val="26"/>
          <w:szCs w:val="26"/>
        </w:rPr>
        <w:t>% от общего объема расходов бюджета городского округа, утвержденных решением о бюджете.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bCs/>
          <w:sz w:val="26"/>
          <w:szCs w:val="26"/>
        </w:rPr>
      </w:pPr>
      <w:r w:rsidRPr="009D5FD2">
        <w:rPr>
          <w:rFonts w:eastAsiaTheme="minorEastAsia"/>
          <w:bCs/>
          <w:sz w:val="26"/>
          <w:szCs w:val="26"/>
        </w:rPr>
        <w:lastRenderedPageBreak/>
        <w:t>Информация об исполнении муниципальных программ приведена в таблице 4.</w:t>
      </w:r>
    </w:p>
    <w:p w:rsidR="002C5DF1" w:rsidRPr="002C5DF1" w:rsidRDefault="002C5DF1" w:rsidP="002C5DF1">
      <w:pPr>
        <w:ind w:firstLine="708"/>
        <w:jc w:val="both"/>
        <w:rPr>
          <w:rFonts w:eastAsiaTheme="minorEastAsia"/>
          <w:bCs/>
        </w:rPr>
      </w:pPr>
    </w:p>
    <w:p w:rsidR="002C5DF1" w:rsidRPr="002C5DF1" w:rsidRDefault="002C5DF1" w:rsidP="002C5DF1">
      <w:pPr>
        <w:ind w:firstLine="708"/>
        <w:jc w:val="both"/>
        <w:rPr>
          <w:rFonts w:eastAsiaTheme="minorEastAsia"/>
          <w:bCs/>
        </w:rPr>
      </w:pPr>
      <w:r w:rsidRPr="002C5DF1">
        <w:rPr>
          <w:rFonts w:eastAsiaTheme="minorEastAsia"/>
          <w:bCs/>
        </w:rPr>
        <w:t>Таблица 4 (тыс. руб.)</w:t>
      </w:r>
    </w:p>
    <w:tbl>
      <w:tblPr>
        <w:tblW w:w="9880" w:type="dxa"/>
        <w:tblInd w:w="93" w:type="dxa"/>
        <w:tblLook w:val="04A0"/>
      </w:tblPr>
      <w:tblGrid>
        <w:gridCol w:w="715"/>
        <w:gridCol w:w="5747"/>
        <w:gridCol w:w="1622"/>
        <w:gridCol w:w="1096"/>
        <w:gridCol w:w="700"/>
      </w:tblGrid>
      <w:tr w:rsidR="002C5DF1" w:rsidRPr="002C5DF1" w:rsidTr="002F2CB2">
        <w:trPr>
          <w:trHeight w:val="162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5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C5DF1">
              <w:rPr>
                <w:rFonts w:eastAsiaTheme="minorEastAsia"/>
                <w:sz w:val="20"/>
                <w:szCs w:val="20"/>
              </w:rPr>
              <w:t xml:space="preserve">Утвержденные годовые назначения </w:t>
            </w: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на 2017 год (согласно решению Думы №597)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 xml:space="preserve">Исполнение за 1 полугодие 2017 года </w:t>
            </w:r>
          </w:p>
        </w:tc>
      </w:tr>
      <w:tr w:rsidR="002C5DF1" w:rsidRPr="002C5DF1" w:rsidTr="002F2CB2">
        <w:trPr>
          <w:trHeight w:val="270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%</w:t>
            </w:r>
          </w:p>
        </w:tc>
      </w:tr>
      <w:tr w:rsidR="002C5DF1" w:rsidRPr="002C5DF1" w:rsidTr="002F2CB2">
        <w:trPr>
          <w:trHeight w:val="77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 «Развитие муниципальной службы в городском округе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433,8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51,6</w:t>
            </w:r>
          </w:p>
        </w:tc>
      </w:tr>
      <w:tr w:rsidR="002C5DF1" w:rsidRPr="002C5DF1" w:rsidTr="002F2CB2">
        <w:trPr>
          <w:trHeight w:val="6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«Повышение безопасности дорожного движения на территории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201,1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15,9</w:t>
            </w:r>
          </w:p>
        </w:tc>
      </w:tr>
      <w:tr w:rsidR="002C5DF1" w:rsidRPr="002C5DF1" w:rsidTr="002F2CB2">
        <w:trPr>
          <w:trHeight w:val="78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 «Развитие и обеспечение сохранности сети автомобильных дорог на территории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47 286,7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11 969,5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25,3</w:t>
            </w:r>
          </w:p>
        </w:tc>
      </w:tr>
      <w:tr w:rsidR="002C5DF1" w:rsidRPr="002C5DF1" w:rsidTr="002F2CB2">
        <w:trPr>
          <w:trHeight w:val="69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 «Подготовка градостроительной документации на территорию городского округа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989,7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</w:tr>
      <w:tr w:rsidR="002C5DF1" w:rsidRPr="002C5DF1" w:rsidTr="002F2CB2">
        <w:trPr>
          <w:trHeight w:val="78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 «Управление муниципальной собственностью 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1 516,8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68,0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4,5</w:t>
            </w:r>
          </w:p>
        </w:tc>
      </w:tr>
      <w:tr w:rsidR="002C5DF1" w:rsidRPr="002C5DF1" w:rsidTr="002F2CB2">
        <w:trPr>
          <w:trHeight w:val="54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 «Информационное общество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1 844,4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400,7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21,7</w:t>
            </w:r>
          </w:p>
        </w:tc>
      </w:tr>
      <w:tr w:rsidR="002C5DF1" w:rsidRPr="002C5DF1" w:rsidTr="002F2CB2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«Экология и природные ресурсы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3 010,8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1 093,0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36,3</w:t>
            </w:r>
          </w:p>
        </w:tc>
      </w:tr>
      <w:tr w:rsidR="002C5DF1" w:rsidRPr="002C5DF1" w:rsidTr="002F2CB2">
        <w:trPr>
          <w:trHeight w:val="778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 «Социальная поддержка населения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666,3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47,6</w:t>
            </w:r>
          </w:p>
        </w:tc>
      </w:tr>
      <w:tr w:rsidR="002C5DF1" w:rsidRPr="002C5DF1" w:rsidTr="002F2CB2">
        <w:trPr>
          <w:trHeight w:val="6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«Развитие системы образования в городском округе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457 082,8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218 943,9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47,9</w:t>
            </w:r>
          </w:p>
        </w:tc>
      </w:tr>
      <w:tr w:rsidR="002C5DF1" w:rsidRPr="002C5DF1" w:rsidTr="002F2CB2">
        <w:trPr>
          <w:trHeight w:val="7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«Развитие субъектов малого и среднего предпринимательства в городском округе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2 109,5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1 527,6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72,4</w:t>
            </w:r>
          </w:p>
        </w:tc>
      </w:tr>
      <w:tr w:rsidR="002C5DF1" w:rsidRPr="002C5DF1" w:rsidTr="002F2CB2">
        <w:trPr>
          <w:trHeight w:val="9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110 992,5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25 558,5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23,0</w:t>
            </w:r>
          </w:p>
        </w:tc>
      </w:tr>
      <w:tr w:rsidR="002C5DF1" w:rsidRPr="002C5DF1" w:rsidTr="002F2CB2">
        <w:trPr>
          <w:trHeight w:val="5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«Управление финансами  городского округа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8 440,7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4 043,3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47,9</w:t>
            </w:r>
          </w:p>
        </w:tc>
      </w:tr>
      <w:tr w:rsidR="002C5DF1" w:rsidRPr="002C5DF1" w:rsidTr="002F2CB2">
        <w:trPr>
          <w:trHeight w:val="9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«Развитие физической культуры и спорта, формирование здорового образа жизни в городском округе Красноуральск на 2015-2020 годы»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31 163,3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14 740,5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47,3</w:t>
            </w:r>
          </w:p>
        </w:tc>
      </w:tr>
      <w:tr w:rsidR="002C5DF1" w:rsidRPr="002C5DF1" w:rsidTr="002F2CB2">
        <w:trPr>
          <w:trHeight w:val="7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«Развитие культуры и молодежной политики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79 404,4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37 127,7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46,8</w:t>
            </w:r>
          </w:p>
        </w:tc>
      </w:tr>
      <w:tr w:rsidR="002C5DF1" w:rsidRPr="002C5DF1" w:rsidTr="002F2CB2">
        <w:trPr>
          <w:trHeight w:val="83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lastRenderedPageBreak/>
              <w:t>15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Муниципальная программа «Безопасность жизнедеятельности населения городского округа Красноуральск» на 2015-2020 годы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8 019,8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2 148,1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26,8</w:t>
            </w:r>
          </w:p>
        </w:tc>
      </w:tr>
      <w:tr w:rsidR="002C5DF1" w:rsidRPr="002C5DF1" w:rsidTr="002F2CB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2C5DF1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sz w:val="22"/>
                <w:szCs w:val="22"/>
              </w:rPr>
              <w:t>755 365,4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sz w:val="22"/>
                <w:szCs w:val="22"/>
              </w:rPr>
              <w:t>318 922,0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color w:val="000000"/>
                <w:sz w:val="22"/>
                <w:szCs w:val="22"/>
              </w:rPr>
              <w:t>42,2</w:t>
            </w:r>
          </w:p>
        </w:tc>
      </w:tr>
    </w:tbl>
    <w:p w:rsidR="002C5DF1" w:rsidRPr="002C5DF1" w:rsidRDefault="002C5DF1" w:rsidP="002C5DF1">
      <w:pPr>
        <w:ind w:firstLine="567"/>
        <w:jc w:val="both"/>
        <w:rPr>
          <w:rFonts w:eastAsiaTheme="minorEastAsia"/>
          <w:bCs/>
          <w:sz w:val="22"/>
          <w:szCs w:val="22"/>
        </w:rPr>
      </w:pP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bCs/>
          <w:sz w:val="26"/>
          <w:szCs w:val="26"/>
        </w:rPr>
        <w:t>За первое полугодие 2017 года исполнение расходов на реализацию муниципальных программ составило 318 922,0 тыс. руб</w:t>
      </w:r>
      <w:r w:rsidRPr="009D5FD2">
        <w:rPr>
          <w:rFonts w:eastAsiaTheme="minorEastAsia"/>
          <w:b/>
          <w:bCs/>
          <w:sz w:val="26"/>
          <w:szCs w:val="26"/>
        </w:rPr>
        <w:t xml:space="preserve">. </w:t>
      </w:r>
      <w:r w:rsidRPr="009D5FD2">
        <w:rPr>
          <w:rFonts w:eastAsiaTheme="minorEastAsia"/>
          <w:bCs/>
          <w:sz w:val="26"/>
          <w:szCs w:val="26"/>
        </w:rPr>
        <w:t xml:space="preserve">или 42,2 % </w:t>
      </w:r>
      <w:r w:rsidRPr="009D5FD2">
        <w:rPr>
          <w:rFonts w:eastAsiaTheme="minorEastAsia"/>
          <w:sz w:val="26"/>
          <w:szCs w:val="26"/>
        </w:rPr>
        <w:t>утвержденных бюджетных назначений.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bCs/>
          <w:sz w:val="26"/>
          <w:szCs w:val="26"/>
        </w:rPr>
      </w:pPr>
      <w:r w:rsidRPr="009D5FD2">
        <w:rPr>
          <w:rFonts w:eastAsiaTheme="minorEastAsia"/>
          <w:bCs/>
          <w:sz w:val="26"/>
          <w:szCs w:val="26"/>
        </w:rPr>
        <w:t xml:space="preserve">Уровень исполнения по муниципальным программам в отчетном периоде составил от 4,5 % утвержденных бюджетных назначений (муниципальная программа </w:t>
      </w:r>
      <w:r w:rsidRPr="009D5FD2">
        <w:rPr>
          <w:rFonts w:eastAsiaTheme="minorEastAsia"/>
          <w:color w:val="000000"/>
          <w:sz w:val="26"/>
          <w:szCs w:val="26"/>
        </w:rPr>
        <w:t>«Управление муниципальной собственностью  городского округа Красноуральск» на 2015-2020 годы</w:t>
      </w:r>
      <w:r w:rsidRPr="009D5FD2">
        <w:rPr>
          <w:rFonts w:eastAsiaTheme="minorEastAsia"/>
          <w:bCs/>
          <w:sz w:val="26"/>
          <w:szCs w:val="26"/>
        </w:rPr>
        <w:t xml:space="preserve">) до </w:t>
      </w:r>
      <w:r w:rsidRPr="009D5FD2">
        <w:rPr>
          <w:rFonts w:eastAsiaTheme="minorEastAsia"/>
          <w:color w:val="000000"/>
          <w:sz w:val="26"/>
          <w:szCs w:val="26"/>
        </w:rPr>
        <w:t>72,4</w:t>
      </w:r>
      <w:r w:rsidRPr="009D5FD2">
        <w:rPr>
          <w:rFonts w:eastAsiaTheme="minorEastAsia"/>
          <w:bCs/>
          <w:sz w:val="26"/>
          <w:szCs w:val="26"/>
        </w:rPr>
        <w:t xml:space="preserve"> % (муниципальная программа </w:t>
      </w:r>
      <w:r w:rsidRPr="009D5FD2">
        <w:rPr>
          <w:rFonts w:eastAsiaTheme="minorEastAsia"/>
          <w:color w:val="000000"/>
          <w:sz w:val="26"/>
          <w:szCs w:val="26"/>
        </w:rPr>
        <w:t>«Развитие субъектов малого и среднего предпринимательства в городском округе Красноуральск» на 2015-2020 годы</w:t>
      </w:r>
      <w:r w:rsidRPr="009D5FD2">
        <w:rPr>
          <w:rFonts w:eastAsiaTheme="minorEastAsia"/>
          <w:bCs/>
          <w:sz w:val="26"/>
          <w:szCs w:val="26"/>
        </w:rPr>
        <w:t>).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color w:val="000000"/>
          <w:sz w:val="26"/>
          <w:szCs w:val="26"/>
        </w:rPr>
      </w:pPr>
      <w:r w:rsidRPr="009D5FD2">
        <w:rPr>
          <w:rFonts w:eastAsiaTheme="minorEastAsia"/>
          <w:color w:val="000000"/>
          <w:sz w:val="26"/>
          <w:szCs w:val="26"/>
        </w:rPr>
        <w:t>Не производились расходы по программе «Подготовка градостроительной документации на территорию городского округа Красноуральск» на 2015-2020 годы».</w:t>
      </w:r>
    </w:p>
    <w:p w:rsidR="002C5DF1" w:rsidRPr="009D5FD2" w:rsidRDefault="002C5DF1" w:rsidP="002C5DF1">
      <w:pPr>
        <w:tabs>
          <w:tab w:val="left" w:pos="360"/>
        </w:tabs>
        <w:ind w:firstLine="540"/>
        <w:jc w:val="center"/>
        <w:rPr>
          <w:rFonts w:eastAsiaTheme="minorEastAsia"/>
          <w:b/>
          <w:sz w:val="26"/>
          <w:szCs w:val="26"/>
        </w:rPr>
      </w:pPr>
      <w:r w:rsidRPr="009D5FD2">
        <w:rPr>
          <w:rFonts w:eastAsiaTheme="minorEastAsia"/>
          <w:b/>
          <w:sz w:val="26"/>
          <w:szCs w:val="26"/>
        </w:rPr>
        <w:t>Резервный фонд</w:t>
      </w:r>
    </w:p>
    <w:p w:rsidR="002C5DF1" w:rsidRPr="009D5FD2" w:rsidRDefault="002C5DF1" w:rsidP="002C5DF1">
      <w:pPr>
        <w:tabs>
          <w:tab w:val="left" w:pos="360"/>
        </w:tabs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Общая утвержденная сумма резервного фонда на 2017 год составила    1 100,0 тыс. руб. Потребность в средствах резервного фонда в первом полугодии 2017 года не возникала.</w:t>
      </w:r>
    </w:p>
    <w:p w:rsidR="002C5DF1" w:rsidRPr="009D5FD2" w:rsidRDefault="002C5DF1" w:rsidP="002C5DF1">
      <w:pPr>
        <w:tabs>
          <w:tab w:val="left" w:pos="360"/>
        </w:tabs>
        <w:ind w:firstLine="540"/>
        <w:jc w:val="center"/>
        <w:rPr>
          <w:rFonts w:eastAsiaTheme="minorEastAsia"/>
          <w:b/>
          <w:sz w:val="26"/>
          <w:szCs w:val="26"/>
        </w:rPr>
      </w:pPr>
      <w:r w:rsidRPr="009D5FD2">
        <w:rPr>
          <w:rFonts w:eastAsiaTheme="minorEastAsia"/>
          <w:b/>
          <w:sz w:val="26"/>
          <w:szCs w:val="26"/>
        </w:rPr>
        <w:t>Дорожный фонд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В Дорожный фонд городского округа Красноуральск за первое полугодие 2017 года поступило 2 993,5 тыс. руб. или 54,2 % от годовых назначений в размере 5 524,0 тыс. руб. Расходы исполнены в сумме 12 170,6 тыс. руб. или 25,1 % от годовых назначений в размере 48 550,7 тыс. руб.</w:t>
      </w:r>
    </w:p>
    <w:p w:rsidR="002C5DF1" w:rsidRPr="009D5FD2" w:rsidRDefault="002C5DF1" w:rsidP="002C5DF1">
      <w:pPr>
        <w:tabs>
          <w:tab w:val="left" w:pos="360"/>
        </w:tabs>
        <w:jc w:val="center"/>
        <w:rPr>
          <w:rFonts w:eastAsiaTheme="minorEastAsia"/>
          <w:b/>
          <w:sz w:val="26"/>
          <w:szCs w:val="26"/>
        </w:rPr>
      </w:pPr>
      <w:r w:rsidRPr="009D5FD2">
        <w:rPr>
          <w:rFonts w:eastAsiaTheme="minorEastAsia"/>
          <w:b/>
          <w:sz w:val="26"/>
          <w:szCs w:val="26"/>
        </w:rPr>
        <w:t>Источники внутреннего финансирования дефицита бюджета и расходы</w:t>
      </w:r>
    </w:p>
    <w:p w:rsidR="002C5DF1" w:rsidRPr="009D5FD2" w:rsidRDefault="002C5DF1" w:rsidP="002C5DF1">
      <w:pPr>
        <w:jc w:val="center"/>
        <w:rPr>
          <w:rFonts w:eastAsiaTheme="minorEastAsia"/>
          <w:b/>
          <w:i/>
          <w:sz w:val="26"/>
          <w:szCs w:val="26"/>
        </w:rPr>
      </w:pPr>
      <w:r w:rsidRPr="009D5FD2">
        <w:rPr>
          <w:rFonts w:eastAsiaTheme="minorEastAsia"/>
          <w:b/>
          <w:sz w:val="26"/>
          <w:szCs w:val="26"/>
        </w:rPr>
        <w:t>на обслуживание муниципального долга</w:t>
      </w:r>
    </w:p>
    <w:p w:rsidR="002C5DF1" w:rsidRPr="009D5FD2" w:rsidRDefault="002C5DF1" w:rsidP="002C5DF1">
      <w:pPr>
        <w:widowControl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Данные о выполнении бюджетных назначений по поступлениям из источников внутреннего финансирования дефицита местного бюджета, а также назначений по их погашению за первое полугодие</w:t>
      </w:r>
      <w:r w:rsidRPr="009D5FD2">
        <w:rPr>
          <w:rFonts w:eastAsiaTheme="minorEastAsia"/>
          <w:color w:val="FFFFFF"/>
          <w:sz w:val="26"/>
          <w:szCs w:val="26"/>
        </w:rPr>
        <w:t>.</w:t>
      </w:r>
      <w:r w:rsidRPr="009D5FD2">
        <w:rPr>
          <w:rFonts w:eastAsiaTheme="minorEastAsia"/>
          <w:sz w:val="26"/>
          <w:szCs w:val="26"/>
        </w:rPr>
        <w:t>2017 года приведены в таблице 5.</w:t>
      </w:r>
    </w:p>
    <w:p w:rsidR="002C5DF1" w:rsidRPr="002C5DF1" w:rsidRDefault="002C5DF1" w:rsidP="002C5DF1">
      <w:pPr>
        <w:widowControl w:val="0"/>
        <w:ind w:firstLine="708"/>
        <w:jc w:val="both"/>
        <w:rPr>
          <w:rFonts w:eastAsiaTheme="minorEastAsia"/>
        </w:rPr>
      </w:pPr>
    </w:p>
    <w:p w:rsidR="002C5DF1" w:rsidRPr="002C5DF1" w:rsidRDefault="002C5DF1" w:rsidP="002C5DF1">
      <w:pPr>
        <w:widowControl w:val="0"/>
        <w:ind w:firstLine="708"/>
        <w:jc w:val="both"/>
        <w:rPr>
          <w:rFonts w:eastAsiaTheme="minorEastAsia"/>
          <w:highlight w:val="yellow"/>
        </w:rPr>
      </w:pPr>
      <w:r w:rsidRPr="002C5DF1">
        <w:rPr>
          <w:rFonts w:eastAsiaTheme="minorEastAsia"/>
        </w:rPr>
        <w:t>Таблица 5(тыс. руб.)</w:t>
      </w:r>
    </w:p>
    <w:tbl>
      <w:tblPr>
        <w:tblW w:w="9098" w:type="dxa"/>
        <w:tblInd w:w="82" w:type="dxa"/>
        <w:tblLayout w:type="fixed"/>
        <w:tblLook w:val="04A0"/>
      </w:tblPr>
      <w:tblGrid>
        <w:gridCol w:w="4490"/>
        <w:gridCol w:w="1495"/>
        <w:gridCol w:w="1412"/>
        <w:gridCol w:w="1701"/>
      </w:tblGrid>
      <w:tr w:rsidR="002C5DF1" w:rsidRPr="002C5DF1" w:rsidTr="002F2CB2">
        <w:trPr>
          <w:trHeight w:val="100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Утвержденные бюджетные назначения на 2017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Исполнено в 1 полугодии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 xml:space="preserve">Неисполненные назначения </w:t>
            </w:r>
          </w:p>
        </w:tc>
      </w:tr>
      <w:tr w:rsidR="002C5DF1" w:rsidRPr="002C5DF1" w:rsidTr="002F2CB2">
        <w:trPr>
          <w:trHeight w:val="3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</w:tr>
      <w:tr w:rsidR="002C5DF1" w:rsidRPr="002C5DF1" w:rsidTr="002F2CB2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C5DF1" w:rsidRPr="002C5DF1" w:rsidTr="002F2CB2">
        <w:trPr>
          <w:trHeight w:val="42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</w:tr>
      <w:tr w:rsidR="002C5DF1" w:rsidRPr="002C5DF1" w:rsidTr="002F2CB2">
        <w:trPr>
          <w:trHeight w:val="43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Погашение бюджетом городского округа кредитов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</w:tr>
      <w:tr w:rsidR="002C5DF1" w:rsidRPr="002C5DF1" w:rsidTr="002F2CB2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-2 992,3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-2 992,3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C5DF1" w:rsidRPr="002C5DF1" w:rsidTr="002F2CB2">
        <w:trPr>
          <w:trHeight w:val="37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Получение кредитов от других бюджетов бюджетной системы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5 000,0</w:t>
            </w:r>
          </w:p>
        </w:tc>
      </w:tr>
      <w:tr w:rsidR="002C5DF1" w:rsidRPr="002C5DF1" w:rsidTr="002F2CB2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color w:val="000000"/>
                <w:sz w:val="20"/>
                <w:szCs w:val="20"/>
              </w:rPr>
              <w:t>Погашение бюджетом городского округа кредитов от других бюджетов бюджетной системы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-7 992,3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-2 992,3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-5 000,0</w:t>
            </w:r>
          </w:p>
        </w:tc>
      </w:tr>
      <w:tr w:rsidR="002C5DF1" w:rsidRPr="002C5DF1" w:rsidTr="002F2CB2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73 803,3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-16 312,1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90 115,4</w:t>
            </w:r>
          </w:p>
        </w:tc>
      </w:tr>
      <w:tr w:rsidR="002C5DF1" w:rsidRPr="002C5DF1" w:rsidTr="002F2CB2">
        <w:trPr>
          <w:trHeight w:val="67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Увеличение прочих остатков  денежных средств 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-825 204,2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-418 768,7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</w:tr>
      <w:tr w:rsidR="002C5DF1" w:rsidRPr="002C5DF1" w:rsidTr="002F2CB2">
        <w:trPr>
          <w:trHeight w:val="66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Уменьшение прочих остатков  денежных средств бюджетов городских округов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899 007,5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402 456,6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color w:val="000000"/>
                <w:sz w:val="22"/>
                <w:szCs w:val="22"/>
              </w:rPr>
              <w:t>Х</w:t>
            </w:r>
          </w:p>
        </w:tc>
      </w:tr>
      <w:tr w:rsidR="002C5DF1" w:rsidRPr="002C5DF1" w:rsidTr="002F2CB2">
        <w:trPr>
          <w:trHeight w:val="55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70 811,0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-19 304,4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DF1" w:rsidRPr="002C5DF1" w:rsidRDefault="002C5DF1" w:rsidP="002C5DF1">
            <w:pPr>
              <w:jc w:val="both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2C5D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90 115,4</w:t>
            </w:r>
          </w:p>
        </w:tc>
      </w:tr>
    </w:tbl>
    <w:p w:rsidR="002C5DF1" w:rsidRPr="002C5DF1" w:rsidRDefault="002C5DF1" w:rsidP="002C5DF1">
      <w:pPr>
        <w:widowControl w:val="0"/>
        <w:ind w:firstLine="720"/>
        <w:jc w:val="both"/>
        <w:rPr>
          <w:rFonts w:eastAsiaTheme="minorEastAsia"/>
          <w:sz w:val="22"/>
          <w:szCs w:val="22"/>
          <w:highlight w:val="yellow"/>
        </w:rPr>
      </w:pPr>
    </w:p>
    <w:p w:rsidR="002C5DF1" w:rsidRPr="009D5FD2" w:rsidRDefault="002C5DF1" w:rsidP="002C5DF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Объем муниципального долга городского округа Красноуральск по состоянию на 01.07.2017 составил 2 092,9 тыс. руб. На обслуживание муниципального долга направлено 1,3 тыс. руб. или 25,5 % от установленного на эти цели объема расходов.</w:t>
      </w:r>
    </w:p>
    <w:p w:rsidR="002C5DF1" w:rsidRPr="009D5FD2" w:rsidRDefault="002C5DF1" w:rsidP="002C5DF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 xml:space="preserve">В отчетном периоде погашена, согласно графиков погашения, задолженность перед областным бюджетом на сумму 2 992,3 тыс. руб. по кредитам, находящимся на реструктуризации. </w:t>
      </w:r>
    </w:p>
    <w:p w:rsidR="002C5DF1" w:rsidRPr="009D5FD2" w:rsidRDefault="002C5DF1" w:rsidP="002C5DF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Кредиты в первом полугодии 2017 года не привлекались в связи с отсутствием необходимости в заемных средствах, отсутствием кассовых разрывов при исполнении местного бюджета.</w:t>
      </w:r>
    </w:p>
    <w:p w:rsidR="002C5DF1" w:rsidRPr="009D5FD2" w:rsidRDefault="002C5DF1" w:rsidP="002C5DF1">
      <w:pPr>
        <w:ind w:firstLine="567"/>
        <w:jc w:val="both"/>
        <w:rPr>
          <w:rFonts w:eastAsiaTheme="minorEastAsia"/>
          <w:sz w:val="26"/>
          <w:szCs w:val="26"/>
        </w:rPr>
      </w:pPr>
      <w:r w:rsidRPr="009D5FD2">
        <w:rPr>
          <w:rFonts w:eastAsiaTheme="minorEastAsia"/>
          <w:sz w:val="26"/>
          <w:szCs w:val="26"/>
        </w:rPr>
        <w:t>При планируемом годовом дефиците в размере 70 811,0  тыс. руб., по итогам первого полугодия 2017 года сложился профицит в размере 19 304,4 тыс. руб. в основном за счет изменения остатков средств на счетах бюджета (поступления и выбытия).</w:t>
      </w:r>
    </w:p>
    <w:p w:rsidR="00D63A4F" w:rsidRDefault="00D63A4F" w:rsidP="002C5DF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63A4F" w:rsidRDefault="00D63A4F" w:rsidP="002C5DF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63A4F" w:rsidRDefault="00D63A4F" w:rsidP="002C5DF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63A4F" w:rsidRDefault="00D63A4F" w:rsidP="002C5DF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63A4F" w:rsidRDefault="00D63A4F" w:rsidP="002C5DF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63A4F" w:rsidRPr="002C5DF1" w:rsidRDefault="00D63A4F" w:rsidP="002C5DF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C5DF1" w:rsidRDefault="002C5DF1" w:rsidP="00545AD7">
      <w:pPr>
        <w:pStyle w:val="af6"/>
        <w:rPr>
          <w:b/>
          <w:sz w:val="26"/>
          <w:szCs w:val="26"/>
          <w:lang w:eastAsia="ar-SA"/>
        </w:rPr>
      </w:pPr>
    </w:p>
    <w:p w:rsidR="002C5DF1" w:rsidRDefault="002C5DF1" w:rsidP="00545AD7">
      <w:pPr>
        <w:pStyle w:val="af6"/>
        <w:rPr>
          <w:b/>
          <w:sz w:val="26"/>
          <w:szCs w:val="26"/>
          <w:lang w:eastAsia="ar-SA"/>
        </w:rPr>
      </w:pPr>
    </w:p>
    <w:p w:rsidR="002C5DF1" w:rsidRDefault="002C5DF1" w:rsidP="00545AD7">
      <w:pPr>
        <w:pStyle w:val="af6"/>
        <w:rPr>
          <w:b/>
          <w:sz w:val="26"/>
          <w:szCs w:val="26"/>
          <w:lang w:eastAsia="ar-SA"/>
        </w:rPr>
      </w:pPr>
    </w:p>
    <w:p w:rsidR="002C5DF1" w:rsidRDefault="002C5DF1" w:rsidP="00545AD7">
      <w:pPr>
        <w:pStyle w:val="af6"/>
        <w:rPr>
          <w:b/>
          <w:sz w:val="26"/>
          <w:szCs w:val="26"/>
          <w:lang w:eastAsia="ar-SA"/>
        </w:rPr>
      </w:pPr>
    </w:p>
    <w:p w:rsidR="002C5DF1" w:rsidRDefault="002C5DF1" w:rsidP="00545AD7">
      <w:pPr>
        <w:pStyle w:val="af6"/>
        <w:rPr>
          <w:b/>
          <w:sz w:val="26"/>
          <w:szCs w:val="26"/>
          <w:lang w:eastAsia="ar-SA"/>
        </w:rPr>
      </w:pPr>
    </w:p>
    <w:p w:rsidR="002C5DF1" w:rsidRDefault="002C5DF1" w:rsidP="00545AD7">
      <w:pPr>
        <w:pStyle w:val="af6"/>
        <w:rPr>
          <w:b/>
          <w:sz w:val="26"/>
          <w:szCs w:val="26"/>
          <w:lang w:eastAsia="ar-SA"/>
        </w:rPr>
      </w:pPr>
    </w:p>
    <w:p w:rsidR="002C5DF1" w:rsidRDefault="002C5DF1" w:rsidP="00545AD7">
      <w:pPr>
        <w:pStyle w:val="af6"/>
        <w:rPr>
          <w:b/>
          <w:sz w:val="26"/>
          <w:szCs w:val="26"/>
          <w:lang w:eastAsia="ar-SA"/>
        </w:rPr>
      </w:pPr>
    </w:p>
    <w:p w:rsidR="002C5DF1" w:rsidRDefault="002C5DF1" w:rsidP="00545AD7">
      <w:pPr>
        <w:pStyle w:val="af6"/>
        <w:rPr>
          <w:b/>
          <w:sz w:val="26"/>
          <w:szCs w:val="26"/>
          <w:lang w:eastAsia="ar-SA"/>
        </w:rPr>
      </w:pPr>
    </w:p>
    <w:p w:rsidR="002C5DF1" w:rsidRDefault="002C5DF1" w:rsidP="00545AD7">
      <w:pPr>
        <w:pStyle w:val="af6"/>
        <w:rPr>
          <w:b/>
          <w:sz w:val="28"/>
          <w:szCs w:val="28"/>
          <w:lang w:eastAsia="ar-SA"/>
        </w:rPr>
      </w:pPr>
    </w:p>
    <w:sectPr w:rsidR="002C5DF1" w:rsidSect="00A74495">
      <w:headerReference w:type="even" r:id="rId10"/>
      <w:headerReference w:type="default" r:id="rId11"/>
      <w:footerReference w:type="default" r:id="rId12"/>
      <w:pgSz w:w="11906" w:h="16838"/>
      <w:pgMar w:top="851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F8" w:rsidRDefault="00F73BF8">
      <w:r>
        <w:separator/>
      </w:r>
    </w:p>
  </w:endnote>
  <w:endnote w:type="continuationSeparator" w:id="1">
    <w:p w:rsidR="00F73BF8" w:rsidRDefault="00F7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2" w:rsidRDefault="002F2CB2">
    <w:pPr>
      <w:pStyle w:val="af3"/>
      <w:jc w:val="center"/>
    </w:pPr>
  </w:p>
  <w:p w:rsidR="002F2CB2" w:rsidRDefault="002F2CB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F8" w:rsidRDefault="00F73BF8">
      <w:r>
        <w:separator/>
      </w:r>
    </w:p>
  </w:footnote>
  <w:footnote w:type="continuationSeparator" w:id="1">
    <w:p w:rsidR="00F73BF8" w:rsidRDefault="00F73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2" w:rsidRDefault="00445DAE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2C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2CB2">
      <w:rPr>
        <w:rStyle w:val="a8"/>
        <w:noProof/>
      </w:rPr>
      <w:t>18</w:t>
    </w:r>
    <w:r>
      <w:rPr>
        <w:rStyle w:val="a8"/>
      </w:rPr>
      <w:fldChar w:fldCharType="end"/>
    </w:r>
  </w:p>
  <w:p w:rsidR="002F2CB2" w:rsidRDefault="002F2C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2F2CB2" w:rsidRDefault="00445DAE">
        <w:pPr>
          <w:pStyle w:val="a6"/>
          <w:jc w:val="center"/>
        </w:pPr>
        <w:r>
          <w:fldChar w:fldCharType="begin"/>
        </w:r>
        <w:r w:rsidR="00EC2D41">
          <w:instrText xml:space="preserve"> PAGE   \* MERGEFORMAT </w:instrText>
        </w:r>
        <w:r>
          <w:fldChar w:fldCharType="separate"/>
        </w:r>
        <w:r w:rsidR="00215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CB2" w:rsidRDefault="002F2C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44A7"/>
    <w:multiLevelType w:val="hybridMultilevel"/>
    <w:tmpl w:val="178A5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416092"/>
    <w:multiLevelType w:val="multilevel"/>
    <w:tmpl w:val="28AE12C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531682"/>
    <w:multiLevelType w:val="hybridMultilevel"/>
    <w:tmpl w:val="6F6AB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6"/>
  </w:num>
  <w:num w:numId="10">
    <w:abstractNumId w:val="31"/>
  </w:num>
  <w:num w:numId="11">
    <w:abstractNumId w:val="25"/>
  </w:num>
  <w:num w:numId="12">
    <w:abstractNumId w:val="14"/>
  </w:num>
  <w:num w:numId="13">
    <w:abstractNumId w:val="11"/>
  </w:num>
  <w:num w:numId="14">
    <w:abstractNumId w:val="24"/>
  </w:num>
  <w:num w:numId="15">
    <w:abstractNumId w:val="6"/>
  </w:num>
  <w:num w:numId="16">
    <w:abstractNumId w:val="34"/>
  </w:num>
  <w:num w:numId="17">
    <w:abstractNumId w:val="22"/>
  </w:num>
  <w:num w:numId="18">
    <w:abstractNumId w:val="32"/>
  </w:num>
  <w:num w:numId="19">
    <w:abstractNumId w:val="16"/>
  </w:num>
  <w:num w:numId="20">
    <w:abstractNumId w:val="8"/>
  </w:num>
  <w:num w:numId="21">
    <w:abstractNumId w:val="30"/>
  </w:num>
  <w:num w:numId="22">
    <w:abstractNumId w:val="19"/>
  </w:num>
  <w:num w:numId="23">
    <w:abstractNumId w:val="21"/>
  </w:num>
  <w:num w:numId="24">
    <w:abstractNumId w:val="29"/>
  </w:num>
  <w:num w:numId="25">
    <w:abstractNumId w:val="15"/>
  </w:num>
  <w:num w:numId="26">
    <w:abstractNumId w:val="0"/>
  </w:num>
  <w:num w:numId="27">
    <w:abstractNumId w:val="17"/>
  </w:num>
  <w:num w:numId="28">
    <w:abstractNumId w:val="10"/>
  </w:num>
  <w:num w:numId="29">
    <w:abstractNumId w:val="33"/>
  </w:num>
  <w:num w:numId="30">
    <w:abstractNumId w:val="9"/>
  </w:num>
  <w:num w:numId="31">
    <w:abstractNumId w:val="20"/>
  </w:num>
  <w:num w:numId="32">
    <w:abstractNumId w:val="12"/>
  </w:num>
  <w:num w:numId="33">
    <w:abstractNumId w:val="28"/>
  </w:num>
  <w:num w:numId="34">
    <w:abstractNumId w:val="1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6DB6"/>
    <w:rsid w:val="00110779"/>
    <w:rsid w:val="0011200D"/>
    <w:rsid w:val="00113905"/>
    <w:rsid w:val="00121C80"/>
    <w:rsid w:val="00125C91"/>
    <w:rsid w:val="001332B4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1F41"/>
    <w:rsid w:val="001A5FC9"/>
    <w:rsid w:val="001B0ACD"/>
    <w:rsid w:val="001B20D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15C3B"/>
    <w:rsid w:val="00217E5C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C00F4"/>
    <w:rsid w:val="002C0D38"/>
    <w:rsid w:val="002C5DF1"/>
    <w:rsid w:val="002D15C3"/>
    <w:rsid w:val="002E26E9"/>
    <w:rsid w:val="002F0EF7"/>
    <w:rsid w:val="002F2CB2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C4164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45DAE"/>
    <w:rsid w:val="0045137E"/>
    <w:rsid w:val="00451E4C"/>
    <w:rsid w:val="00453059"/>
    <w:rsid w:val="00454AE2"/>
    <w:rsid w:val="0046036B"/>
    <w:rsid w:val="00463624"/>
    <w:rsid w:val="00465831"/>
    <w:rsid w:val="004659DF"/>
    <w:rsid w:val="00466A0A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484"/>
    <w:rsid w:val="004A0658"/>
    <w:rsid w:val="004A2354"/>
    <w:rsid w:val="004A69E1"/>
    <w:rsid w:val="004A772B"/>
    <w:rsid w:val="004B248E"/>
    <w:rsid w:val="004B59B1"/>
    <w:rsid w:val="004C0AF1"/>
    <w:rsid w:val="004D11B7"/>
    <w:rsid w:val="004E44F0"/>
    <w:rsid w:val="004E5ACA"/>
    <w:rsid w:val="004F0A5F"/>
    <w:rsid w:val="004F7589"/>
    <w:rsid w:val="00500CD1"/>
    <w:rsid w:val="00506D4F"/>
    <w:rsid w:val="005105E2"/>
    <w:rsid w:val="00523B38"/>
    <w:rsid w:val="00525CD2"/>
    <w:rsid w:val="00527428"/>
    <w:rsid w:val="0052742A"/>
    <w:rsid w:val="0053339C"/>
    <w:rsid w:val="00540F11"/>
    <w:rsid w:val="005444AB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942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6C1"/>
    <w:rsid w:val="006B2DBA"/>
    <w:rsid w:val="006B3139"/>
    <w:rsid w:val="006B4456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09FA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29D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0B2B"/>
    <w:rsid w:val="00915B71"/>
    <w:rsid w:val="00917078"/>
    <w:rsid w:val="0092631A"/>
    <w:rsid w:val="00932E59"/>
    <w:rsid w:val="00935799"/>
    <w:rsid w:val="00946C45"/>
    <w:rsid w:val="00954C42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D5FD2"/>
    <w:rsid w:val="009E18DE"/>
    <w:rsid w:val="009E3573"/>
    <w:rsid w:val="009E6E2D"/>
    <w:rsid w:val="009E7414"/>
    <w:rsid w:val="009F4674"/>
    <w:rsid w:val="009F6776"/>
    <w:rsid w:val="00A07BE9"/>
    <w:rsid w:val="00A1393A"/>
    <w:rsid w:val="00A17DEB"/>
    <w:rsid w:val="00A2014C"/>
    <w:rsid w:val="00A203E3"/>
    <w:rsid w:val="00A264C6"/>
    <w:rsid w:val="00A26B43"/>
    <w:rsid w:val="00A32F3D"/>
    <w:rsid w:val="00A423A4"/>
    <w:rsid w:val="00A52511"/>
    <w:rsid w:val="00A60506"/>
    <w:rsid w:val="00A64470"/>
    <w:rsid w:val="00A663D0"/>
    <w:rsid w:val="00A73FE3"/>
    <w:rsid w:val="00A74495"/>
    <w:rsid w:val="00A7782A"/>
    <w:rsid w:val="00A8186C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479A6"/>
    <w:rsid w:val="00B50F0B"/>
    <w:rsid w:val="00B52ABA"/>
    <w:rsid w:val="00B53FA8"/>
    <w:rsid w:val="00B559B4"/>
    <w:rsid w:val="00B57699"/>
    <w:rsid w:val="00B61A35"/>
    <w:rsid w:val="00B622B4"/>
    <w:rsid w:val="00B62E9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3B45"/>
    <w:rsid w:val="00BC7B92"/>
    <w:rsid w:val="00BD76FA"/>
    <w:rsid w:val="00BF044E"/>
    <w:rsid w:val="00BF0915"/>
    <w:rsid w:val="00BF2A04"/>
    <w:rsid w:val="00BF3434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4AF4"/>
    <w:rsid w:val="00CA7E4C"/>
    <w:rsid w:val="00CB59AB"/>
    <w:rsid w:val="00CB724F"/>
    <w:rsid w:val="00CB73FB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4AD7"/>
    <w:rsid w:val="00D354B6"/>
    <w:rsid w:val="00D35F03"/>
    <w:rsid w:val="00D37678"/>
    <w:rsid w:val="00D405B1"/>
    <w:rsid w:val="00D44237"/>
    <w:rsid w:val="00D453AE"/>
    <w:rsid w:val="00D46D99"/>
    <w:rsid w:val="00D50B7F"/>
    <w:rsid w:val="00D51B55"/>
    <w:rsid w:val="00D5278F"/>
    <w:rsid w:val="00D529B7"/>
    <w:rsid w:val="00D534A5"/>
    <w:rsid w:val="00D56B6C"/>
    <w:rsid w:val="00D57A6A"/>
    <w:rsid w:val="00D57E8E"/>
    <w:rsid w:val="00D6115C"/>
    <w:rsid w:val="00D63A4F"/>
    <w:rsid w:val="00D654FC"/>
    <w:rsid w:val="00D700CC"/>
    <w:rsid w:val="00D711A3"/>
    <w:rsid w:val="00D76511"/>
    <w:rsid w:val="00D811E0"/>
    <w:rsid w:val="00D83972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04F0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88"/>
    <w:rsid w:val="00EB615B"/>
    <w:rsid w:val="00EC2D41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EC8"/>
    <w:rsid w:val="00F46F5D"/>
    <w:rsid w:val="00F53670"/>
    <w:rsid w:val="00F73BF8"/>
    <w:rsid w:val="00F7629B"/>
    <w:rsid w:val="00F8265F"/>
    <w:rsid w:val="00F82B15"/>
    <w:rsid w:val="00F82BBD"/>
    <w:rsid w:val="00F8413D"/>
    <w:rsid w:val="00F9004E"/>
    <w:rsid w:val="00F91E83"/>
    <w:rsid w:val="00F9280A"/>
    <w:rsid w:val="00F93208"/>
    <w:rsid w:val="00F93C03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ur.midur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E8E4-B3D3-4729-9F1E-B0FDFB1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25998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2</cp:revision>
  <cp:lastPrinted>2017-10-02T03:45:00Z</cp:lastPrinted>
  <dcterms:created xsi:type="dcterms:W3CDTF">2017-10-02T03:48:00Z</dcterms:created>
  <dcterms:modified xsi:type="dcterms:W3CDTF">2017-10-02T03:48:00Z</dcterms:modified>
</cp:coreProperties>
</file>